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17" w:rsidRPr="000D3DB7" w:rsidRDefault="009A1D17" w:rsidP="000D3DB7">
      <w:pPr>
        <w:pStyle w:val="NoSpacing"/>
        <w:jc w:val="center"/>
        <w:rPr>
          <w:b/>
          <w:sz w:val="28"/>
          <w:szCs w:val="28"/>
        </w:rPr>
      </w:pPr>
      <w:r w:rsidRPr="000D3DB7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37B9F2A3" wp14:editId="739E3060">
            <wp:simplePos x="0" y="0"/>
            <wp:positionH relativeFrom="column">
              <wp:posOffset>4943475</wp:posOffset>
            </wp:positionH>
            <wp:positionV relativeFrom="paragraph">
              <wp:posOffset>-384810</wp:posOffset>
            </wp:positionV>
            <wp:extent cx="12096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30" y="21451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DB7">
        <w:rPr>
          <w:b/>
          <w:sz w:val="28"/>
          <w:szCs w:val="28"/>
        </w:rPr>
        <w:t>Presentation College, Terenure</w:t>
      </w:r>
    </w:p>
    <w:p w:rsidR="009A1D17" w:rsidRPr="000D3DB7" w:rsidRDefault="009A1D17" w:rsidP="000D3DB7">
      <w:pPr>
        <w:pStyle w:val="NoSpacing"/>
        <w:jc w:val="center"/>
        <w:rPr>
          <w:b/>
          <w:sz w:val="28"/>
          <w:szCs w:val="28"/>
        </w:rPr>
      </w:pPr>
      <w:r w:rsidRPr="000D3DB7">
        <w:rPr>
          <w:b/>
          <w:sz w:val="28"/>
          <w:szCs w:val="28"/>
        </w:rPr>
        <w:t>Dublin 6W</w:t>
      </w:r>
    </w:p>
    <w:p w:rsidR="009A1D17" w:rsidRPr="000D3DB7" w:rsidRDefault="009A1D17" w:rsidP="000D3DB7">
      <w:pPr>
        <w:pStyle w:val="NoSpacing"/>
        <w:jc w:val="center"/>
        <w:rPr>
          <w:b/>
          <w:sz w:val="28"/>
          <w:szCs w:val="28"/>
        </w:rPr>
      </w:pPr>
      <w:r w:rsidRPr="000D3DB7">
        <w:rPr>
          <w:b/>
          <w:sz w:val="28"/>
          <w:szCs w:val="28"/>
        </w:rPr>
        <w:t>76092K</w:t>
      </w:r>
    </w:p>
    <w:p w:rsidR="000D3DB7" w:rsidRDefault="000D3DB7" w:rsidP="000D3DB7">
      <w:pPr>
        <w:pStyle w:val="NoSpacing"/>
        <w:rPr>
          <w:b/>
          <w:sz w:val="28"/>
          <w:szCs w:val="28"/>
        </w:rPr>
      </w:pPr>
    </w:p>
    <w:p w:rsidR="000D3DB7" w:rsidRDefault="00A22E87" w:rsidP="000D3DB7">
      <w:pPr>
        <w:pStyle w:val="NoSpacing"/>
        <w:rPr>
          <w:b/>
          <w:sz w:val="28"/>
          <w:szCs w:val="28"/>
        </w:rPr>
      </w:pPr>
      <w:r w:rsidRPr="000D3DB7">
        <w:rPr>
          <w:b/>
          <w:sz w:val="28"/>
          <w:szCs w:val="28"/>
        </w:rPr>
        <w:t>SCHOOL SELF EVALUATION REPORT</w:t>
      </w:r>
      <w:r w:rsidR="005E4932">
        <w:rPr>
          <w:b/>
          <w:sz w:val="28"/>
          <w:szCs w:val="28"/>
        </w:rPr>
        <w:t xml:space="preserve"> FOR LITERACY</w:t>
      </w:r>
      <w:r w:rsidR="00112D36">
        <w:rPr>
          <w:b/>
          <w:sz w:val="28"/>
          <w:szCs w:val="28"/>
        </w:rPr>
        <w:t xml:space="preserve"> AND NUMERACY</w:t>
      </w:r>
    </w:p>
    <w:p w:rsidR="000D3DB7" w:rsidRDefault="000D3DB7" w:rsidP="000D3DB7">
      <w:pPr>
        <w:pStyle w:val="NoSpacing"/>
        <w:rPr>
          <w:b/>
          <w:sz w:val="28"/>
          <w:szCs w:val="28"/>
        </w:rPr>
      </w:pPr>
    </w:p>
    <w:p w:rsidR="005E4932" w:rsidRDefault="005E4932" w:rsidP="000D3DB7">
      <w:pPr>
        <w:pStyle w:val="NoSpacing"/>
        <w:rPr>
          <w:b/>
          <w:sz w:val="28"/>
          <w:szCs w:val="28"/>
        </w:rPr>
      </w:pPr>
    </w:p>
    <w:p w:rsidR="000D3DB7" w:rsidRPr="000D3DB7" w:rsidRDefault="000D3DB7" w:rsidP="000D3DB7">
      <w:pPr>
        <w:pStyle w:val="NoSpacing"/>
        <w:rPr>
          <w:b/>
          <w:sz w:val="28"/>
          <w:szCs w:val="28"/>
        </w:rPr>
      </w:pPr>
      <w:r>
        <w:t xml:space="preserve"> </w:t>
      </w:r>
      <w:r w:rsidRPr="000D3DB7">
        <w:rPr>
          <w:sz w:val="28"/>
          <w:szCs w:val="28"/>
        </w:rPr>
        <w:t>EVALUATION PERIOD</w:t>
      </w:r>
      <w:r w:rsidRPr="000D3DB7">
        <w:rPr>
          <w:b/>
          <w:sz w:val="28"/>
          <w:szCs w:val="28"/>
        </w:rPr>
        <w:t xml:space="preserve">: </w:t>
      </w:r>
      <w:r w:rsidR="00121FF0">
        <w:rPr>
          <w:i/>
          <w:sz w:val="28"/>
          <w:szCs w:val="28"/>
        </w:rPr>
        <w:t>May 2014</w:t>
      </w:r>
      <w:r w:rsidRPr="000D3DB7">
        <w:rPr>
          <w:i/>
          <w:sz w:val="28"/>
          <w:szCs w:val="28"/>
        </w:rPr>
        <w:t>- 2017</w:t>
      </w:r>
    </w:p>
    <w:p w:rsidR="000D3DB7" w:rsidRDefault="000D3DB7" w:rsidP="000D3DB7">
      <w:pPr>
        <w:pStyle w:val="NoSpacing"/>
        <w:rPr>
          <w:rStyle w:val="Heading9Char"/>
          <w:rFonts w:asciiTheme="minorHAnsi" w:hAnsiTheme="minorHAnsi"/>
          <w:color w:val="auto"/>
          <w:sz w:val="28"/>
          <w:szCs w:val="28"/>
        </w:rPr>
      </w:pPr>
    </w:p>
    <w:p w:rsidR="005E4932" w:rsidRDefault="005E4932" w:rsidP="000D3DB7">
      <w:pPr>
        <w:pStyle w:val="NoSpacing"/>
        <w:rPr>
          <w:rStyle w:val="Heading9Char"/>
          <w:rFonts w:asciiTheme="minorHAnsi" w:hAnsiTheme="minorHAnsi"/>
          <w:color w:val="auto"/>
          <w:sz w:val="28"/>
          <w:szCs w:val="28"/>
        </w:rPr>
      </w:pPr>
    </w:p>
    <w:p w:rsidR="009A1D17" w:rsidRPr="000D3DB7" w:rsidRDefault="000D3DB7" w:rsidP="000D3DB7">
      <w:pPr>
        <w:pStyle w:val="NoSpacing"/>
        <w:rPr>
          <w:sz w:val="28"/>
          <w:szCs w:val="28"/>
        </w:rPr>
      </w:pPr>
      <w:r w:rsidRPr="000D3DB7">
        <w:rPr>
          <w:rStyle w:val="Heading9Char"/>
          <w:rFonts w:asciiTheme="minorHAnsi" w:hAnsiTheme="minorHAnsi"/>
          <w:i w:val="0"/>
          <w:color w:val="auto"/>
          <w:sz w:val="28"/>
          <w:szCs w:val="28"/>
        </w:rPr>
        <w:t>REPORT ISSUE DATE</w:t>
      </w:r>
      <w:r w:rsidRPr="000D3DB7">
        <w:rPr>
          <w:rStyle w:val="Heading9Char"/>
          <w:rFonts w:asciiTheme="minorHAnsi" w:hAnsiTheme="minorHAnsi"/>
          <w:color w:val="auto"/>
          <w:sz w:val="28"/>
          <w:szCs w:val="28"/>
        </w:rPr>
        <w:t>:</w:t>
      </w:r>
      <w:r w:rsidRPr="000D3DB7">
        <w:rPr>
          <w:sz w:val="28"/>
          <w:szCs w:val="28"/>
        </w:rPr>
        <w:t xml:space="preserve"> </w:t>
      </w:r>
      <w:r w:rsidR="00F26327">
        <w:rPr>
          <w:i/>
          <w:sz w:val="28"/>
          <w:szCs w:val="28"/>
        </w:rPr>
        <w:t>September</w:t>
      </w:r>
      <w:r w:rsidR="00121FF0">
        <w:rPr>
          <w:i/>
          <w:sz w:val="28"/>
          <w:szCs w:val="28"/>
        </w:rPr>
        <w:t xml:space="preserve"> 2015</w:t>
      </w:r>
    </w:p>
    <w:p w:rsidR="009A1D17" w:rsidRPr="000D3DB7" w:rsidRDefault="009A1D17" w:rsidP="009A1D17">
      <w:pPr>
        <w:pStyle w:val="NoSpacing"/>
        <w:jc w:val="center"/>
        <w:rPr>
          <w:b/>
          <w:color w:val="002060"/>
          <w:sz w:val="28"/>
          <w:szCs w:val="28"/>
        </w:rPr>
      </w:pPr>
    </w:p>
    <w:p w:rsidR="009A1D17" w:rsidRDefault="009A1D17" w:rsidP="009A1D17">
      <w:pPr>
        <w:pStyle w:val="NoSpacing"/>
        <w:jc w:val="center"/>
        <w:rPr>
          <w:b/>
          <w:sz w:val="24"/>
          <w:szCs w:val="24"/>
        </w:rPr>
      </w:pPr>
    </w:p>
    <w:p w:rsidR="005E4932" w:rsidRPr="009A1D17" w:rsidRDefault="005E4932" w:rsidP="009A1D17">
      <w:pPr>
        <w:pStyle w:val="NoSpacing"/>
        <w:jc w:val="center"/>
        <w:rPr>
          <w:b/>
          <w:sz w:val="24"/>
          <w:szCs w:val="24"/>
        </w:rPr>
      </w:pPr>
    </w:p>
    <w:p w:rsidR="005E4932" w:rsidRPr="005E4932" w:rsidRDefault="005E4932" w:rsidP="005E4932">
      <w:pPr>
        <w:pStyle w:val="NoSpacing"/>
        <w:numPr>
          <w:ilvl w:val="0"/>
          <w:numId w:val="14"/>
        </w:numPr>
        <w:jc w:val="both"/>
        <w:rPr>
          <w:b/>
          <w:sz w:val="24"/>
          <w:szCs w:val="24"/>
          <w:u w:val="single"/>
        </w:rPr>
      </w:pPr>
      <w:r w:rsidRPr="005E4932">
        <w:rPr>
          <w:b/>
          <w:sz w:val="24"/>
          <w:szCs w:val="24"/>
          <w:u w:val="single"/>
        </w:rPr>
        <w:t>Introduction</w:t>
      </w:r>
    </w:p>
    <w:p w:rsidR="005E4932" w:rsidRPr="005E4932" w:rsidRDefault="005E4932" w:rsidP="005E4932">
      <w:pPr>
        <w:pStyle w:val="NoSpacing"/>
        <w:jc w:val="both"/>
        <w:rPr>
          <w:b/>
          <w:sz w:val="24"/>
          <w:szCs w:val="24"/>
        </w:rPr>
      </w:pPr>
    </w:p>
    <w:p w:rsidR="005E4932" w:rsidRPr="005E4932" w:rsidRDefault="00F26327" w:rsidP="005E4932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Focus o</w:t>
      </w:r>
      <w:r w:rsidR="004E4567">
        <w:rPr>
          <w:sz w:val="24"/>
          <w:szCs w:val="24"/>
          <w:u w:val="single"/>
        </w:rPr>
        <w:t>f t</w:t>
      </w:r>
      <w:r w:rsidR="005E4932" w:rsidRPr="005E4932">
        <w:rPr>
          <w:sz w:val="24"/>
          <w:szCs w:val="24"/>
          <w:u w:val="single"/>
        </w:rPr>
        <w:t xml:space="preserve">he Evaluation </w:t>
      </w:r>
    </w:p>
    <w:p w:rsidR="005E4932" w:rsidRPr="005E4932" w:rsidRDefault="00E9320A" w:rsidP="005E49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programme of </w:t>
      </w:r>
      <w:r w:rsidR="005E4932" w:rsidRPr="005E4932">
        <w:rPr>
          <w:sz w:val="24"/>
          <w:szCs w:val="24"/>
        </w:rPr>
        <w:t xml:space="preserve">self-evaluation of the school </w:t>
      </w:r>
      <w:r w:rsidR="00F26327">
        <w:rPr>
          <w:sz w:val="24"/>
          <w:szCs w:val="24"/>
        </w:rPr>
        <w:t>was undertaken during the Autumn Term of 2015</w:t>
      </w:r>
      <w:r w:rsidR="005E4932" w:rsidRPr="005E4932">
        <w:rPr>
          <w:sz w:val="24"/>
          <w:szCs w:val="24"/>
        </w:rPr>
        <w:t xml:space="preserve">. </w:t>
      </w:r>
      <w:r w:rsidR="00112D36">
        <w:rPr>
          <w:sz w:val="24"/>
          <w:szCs w:val="24"/>
        </w:rPr>
        <w:t>Numeracy</w:t>
      </w:r>
      <w:r w:rsidR="00C57560">
        <w:rPr>
          <w:sz w:val="24"/>
          <w:szCs w:val="24"/>
        </w:rPr>
        <w:t xml:space="preserve"> levels </w:t>
      </w:r>
      <w:r>
        <w:rPr>
          <w:sz w:val="24"/>
          <w:szCs w:val="24"/>
        </w:rPr>
        <w:t xml:space="preserve">and Maths Literacy awareness of the </w:t>
      </w:r>
      <w:r w:rsidR="00C57560">
        <w:rPr>
          <w:sz w:val="24"/>
          <w:szCs w:val="24"/>
        </w:rPr>
        <w:t>F</w:t>
      </w:r>
      <w:r w:rsidR="005E4932" w:rsidRPr="005E4932">
        <w:rPr>
          <w:sz w:val="24"/>
          <w:szCs w:val="24"/>
        </w:rPr>
        <w:t xml:space="preserve">irst Year students and how the teaching and learning in all subjects support the acquisition of </w:t>
      </w:r>
      <w:r>
        <w:rPr>
          <w:sz w:val="24"/>
          <w:szCs w:val="24"/>
        </w:rPr>
        <w:t xml:space="preserve">Numeracy and Maths </w:t>
      </w:r>
      <w:r w:rsidR="005E4932" w:rsidRPr="005E4932">
        <w:rPr>
          <w:sz w:val="24"/>
          <w:szCs w:val="24"/>
        </w:rPr>
        <w:t xml:space="preserve">literacy skills were reviewed. </w:t>
      </w: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</w:p>
    <w:p w:rsidR="005E4932" w:rsidRPr="005E4932" w:rsidRDefault="005E4932" w:rsidP="005E4932">
      <w:pPr>
        <w:pStyle w:val="NoSpacing"/>
        <w:jc w:val="both"/>
        <w:rPr>
          <w:sz w:val="24"/>
          <w:szCs w:val="24"/>
          <w:u w:val="single"/>
        </w:rPr>
      </w:pPr>
      <w:r w:rsidRPr="005E4932">
        <w:rPr>
          <w:sz w:val="24"/>
          <w:szCs w:val="24"/>
          <w:u w:val="single"/>
        </w:rPr>
        <w:t>School Context:</w:t>
      </w:r>
    </w:p>
    <w:p w:rsidR="005E4932" w:rsidRDefault="005E4932" w:rsidP="005E4932">
      <w:pPr>
        <w:pStyle w:val="NoSpacing"/>
        <w:jc w:val="both"/>
        <w:rPr>
          <w:sz w:val="24"/>
          <w:szCs w:val="24"/>
          <w:lang w:val="en"/>
        </w:rPr>
      </w:pPr>
      <w:r w:rsidRPr="005E4932">
        <w:rPr>
          <w:sz w:val="24"/>
          <w:szCs w:val="24"/>
          <w:lang w:val="en"/>
        </w:rPr>
        <w:t xml:space="preserve">Presentation College is a post-primary school for girls under the auspices of the City of Dublin Education and Training Board. There are currently </w:t>
      </w:r>
      <w:r w:rsidR="00C15704">
        <w:rPr>
          <w:sz w:val="24"/>
          <w:szCs w:val="24"/>
          <w:lang w:val="en"/>
        </w:rPr>
        <w:t>328</w:t>
      </w:r>
      <w:r w:rsidRPr="005E4932">
        <w:rPr>
          <w:sz w:val="24"/>
          <w:szCs w:val="24"/>
          <w:lang w:val="en"/>
        </w:rPr>
        <w:t xml:space="preserve"> students including</w:t>
      </w:r>
      <w:r w:rsidRPr="004E4567">
        <w:rPr>
          <w:sz w:val="24"/>
          <w:szCs w:val="24"/>
          <w:lang w:val="en"/>
        </w:rPr>
        <w:t xml:space="preserve"> </w:t>
      </w:r>
      <w:r w:rsidR="004E4567" w:rsidRPr="004E4567">
        <w:rPr>
          <w:sz w:val="24"/>
          <w:szCs w:val="24"/>
          <w:lang w:val="en"/>
        </w:rPr>
        <w:t>22</w:t>
      </w:r>
      <w:r w:rsidR="004E4567">
        <w:rPr>
          <w:sz w:val="24"/>
          <w:szCs w:val="24"/>
          <w:lang w:val="en"/>
        </w:rPr>
        <w:t xml:space="preserve"> </w:t>
      </w:r>
      <w:r w:rsidRPr="005E4932">
        <w:rPr>
          <w:sz w:val="24"/>
          <w:szCs w:val="24"/>
          <w:lang w:val="en"/>
        </w:rPr>
        <w:t>who have EAL. We have</w:t>
      </w:r>
      <w:r w:rsidR="00C15704">
        <w:rPr>
          <w:sz w:val="24"/>
          <w:szCs w:val="24"/>
          <w:lang w:val="en"/>
        </w:rPr>
        <w:t xml:space="preserve"> 18</w:t>
      </w:r>
      <w:r w:rsidRPr="005E4932">
        <w:rPr>
          <w:sz w:val="24"/>
          <w:szCs w:val="24"/>
          <w:lang w:val="en"/>
        </w:rPr>
        <w:t xml:space="preserve"> feeder schools for our current First Years. </w:t>
      </w:r>
      <w:r w:rsidR="004E4567">
        <w:rPr>
          <w:sz w:val="24"/>
          <w:szCs w:val="24"/>
          <w:lang w:val="en"/>
        </w:rPr>
        <w:t xml:space="preserve">39 </w:t>
      </w:r>
      <w:r w:rsidRPr="005E4932">
        <w:rPr>
          <w:sz w:val="24"/>
          <w:szCs w:val="24"/>
          <w:lang w:val="en"/>
        </w:rPr>
        <w:t>students a</w:t>
      </w:r>
      <w:r w:rsidR="004E4567">
        <w:rPr>
          <w:sz w:val="24"/>
          <w:szCs w:val="24"/>
          <w:lang w:val="en"/>
        </w:rPr>
        <w:t xml:space="preserve">vail of Learning Support, </w:t>
      </w:r>
      <w:r w:rsidR="007D3C3F">
        <w:rPr>
          <w:sz w:val="24"/>
          <w:szCs w:val="24"/>
          <w:lang w:val="en"/>
        </w:rPr>
        <w:t>8</w:t>
      </w:r>
      <w:r w:rsidRPr="005E4932">
        <w:rPr>
          <w:sz w:val="24"/>
          <w:szCs w:val="24"/>
          <w:lang w:val="en"/>
        </w:rPr>
        <w:t xml:space="preserve"> </w:t>
      </w:r>
      <w:r w:rsidR="004E4567">
        <w:rPr>
          <w:sz w:val="24"/>
          <w:szCs w:val="24"/>
          <w:lang w:val="en"/>
        </w:rPr>
        <w:t xml:space="preserve">of those </w:t>
      </w:r>
      <w:r w:rsidRPr="005E4932">
        <w:rPr>
          <w:sz w:val="24"/>
          <w:szCs w:val="24"/>
          <w:lang w:val="en"/>
        </w:rPr>
        <w:t>students h</w:t>
      </w:r>
      <w:r w:rsidR="004C216B">
        <w:rPr>
          <w:sz w:val="24"/>
          <w:szCs w:val="24"/>
          <w:lang w:val="en"/>
        </w:rPr>
        <w:t>ave resource hours a</w:t>
      </w:r>
      <w:r w:rsidR="004E4567">
        <w:rPr>
          <w:sz w:val="24"/>
          <w:szCs w:val="24"/>
          <w:lang w:val="en"/>
        </w:rPr>
        <w:t xml:space="preserve">nd we have 3 SNA who work with 5 </w:t>
      </w:r>
      <w:r w:rsidRPr="005E4932">
        <w:rPr>
          <w:sz w:val="24"/>
          <w:szCs w:val="24"/>
          <w:lang w:val="en"/>
        </w:rPr>
        <w:t xml:space="preserve">students. </w:t>
      </w:r>
      <w:bookmarkStart w:id="0" w:name="_GoBack"/>
      <w:bookmarkEnd w:id="0"/>
    </w:p>
    <w:p w:rsidR="005E4932" w:rsidRPr="005E4932" w:rsidRDefault="005E4932" w:rsidP="005E4932">
      <w:pPr>
        <w:pStyle w:val="NoSpacing"/>
        <w:jc w:val="both"/>
        <w:rPr>
          <w:sz w:val="24"/>
          <w:szCs w:val="24"/>
          <w:lang w:val="en"/>
        </w:rPr>
      </w:pPr>
    </w:p>
    <w:p w:rsidR="005E4932" w:rsidRPr="005E4932" w:rsidRDefault="005E4932" w:rsidP="005E4932">
      <w:pPr>
        <w:pStyle w:val="NoSpacing"/>
        <w:jc w:val="both"/>
        <w:rPr>
          <w:sz w:val="24"/>
          <w:szCs w:val="24"/>
          <w:lang w:val="en"/>
        </w:rPr>
      </w:pPr>
    </w:p>
    <w:p w:rsidR="005E4932" w:rsidRPr="005E4932" w:rsidRDefault="005E4932" w:rsidP="005E4932">
      <w:pPr>
        <w:pStyle w:val="NoSpacing"/>
        <w:numPr>
          <w:ilvl w:val="0"/>
          <w:numId w:val="14"/>
        </w:numPr>
        <w:jc w:val="both"/>
        <w:rPr>
          <w:b/>
          <w:sz w:val="24"/>
          <w:szCs w:val="24"/>
          <w:u w:val="single"/>
        </w:rPr>
      </w:pPr>
      <w:r w:rsidRPr="005E4932">
        <w:rPr>
          <w:b/>
          <w:sz w:val="24"/>
          <w:szCs w:val="24"/>
          <w:u w:val="single"/>
        </w:rPr>
        <w:t xml:space="preserve">Findings: </w:t>
      </w:r>
    </w:p>
    <w:p w:rsidR="005E4932" w:rsidRPr="005E4932" w:rsidRDefault="005E4932" w:rsidP="005E4932">
      <w:pPr>
        <w:pStyle w:val="NoSpacing"/>
        <w:ind w:left="720"/>
        <w:jc w:val="both"/>
        <w:rPr>
          <w:b/>
          <w:sz w:val="24"/>
          <w:szCs w:val="24"/>
          <w:u w:val="single"/>
        </w:rPr>
      </w:pPr>
    </w:p>
    <w:p w:rsidR="005E4932" w:rsidRPr="005E4932" w:rsidRDefault="005E4932" w:rsidP="005E4932">
      <w:pPr>
        <w:pStyle w:val="NoSpacing"/>
        <w:jc w:val="both"/>
        <w:rPr>
          <w:i/>
          <w:sz w:val="24"/>
          <w:szCs w:val="24"/>
        </w:rPr>
      </w:pPr>
      <w:r w:rsidRPr="005E4932">
        <w:rPr>
          <w:i/>
          <w:sz w:val="24"/>
          <w:szCs w:val="24"/>
        </w:rPr>
        <w:t>Learner Outcomes</w:t>
      </w: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  <w:r w:rsidRPr="005E4932">
        <w:rPr>
          <w:sz w:val="24"/>
          <w:szCs w:val="24"/>
        </w:rPr>
        <w:t>The Junior Certificate results in all subject areas were analysed on a four year cycle and against the national averages</w:t>
      </w:r>
      <w:r w:rsidR="00C57560">
        <w:rPr>
          <w:sz w:val="24"/>
          <w:szCs w:val="24"/>
        </w:rPr>
        <w:t xml:space="preserve">. This was done in order </w:t>
      </w:r>
      <w:r w:rsidRPr="005E4932">
        <w:rPr>
          <w:sz w:val="24"/>
          <w:szCs w:val="24"/>
        </w:rPr>
        <w:t xml:space="preserve">to indicate the existing standards and trends. The majority of subjects compare favourably with the national norms. Findings and targets are recorded in the respective subject department plans.  </w:t>
      </w: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</w:p>
    <w:p w:rsidR="005E4932" w:rsidRPr="005E4932" w:rsidRDefault="005E4932" w:rsidP="005E4932">
      <w:pPr>
        <w:pStyle w:val="NoSpacing"/>
        <w:jc w:val="both"/>
        <w:rPr>
          <w:i/>
          <w:sz w:val="24"/>
          <w:szCs w:val="24"/>
        </w:rPr>
      </w:pPr>
      <w:r w:rsidRPr="005E4932">
        <w:rPr>
          <w:i/>
          <w:sz w:val="24"/>
          <w:szCs w:val="24"/>
        </w:rPr>
        <w:t>Learner Experience</w:t>
      </w:r>
    </w:p>
    <w:p w:rsidR="00F37C32" w:rsidRDefault="00F37C32" w:rsidP="005E4932">
      <w:pPr>
        <w:pStyle w:val="NoSpacing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Literacy Review:</w:t>
      </w:r>
    </w:p>
    <w:p w:rsidR="00F37C32" w:rsidRDefault="00F37C32" w:rsidP="005E49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survey was re-administered to the students at the end of their first year of s</w:t>
      </w:r>
      <w:r w:rsidR="00B924E7">
        <w:rPr>
          <w:sz w:val="24"/>
          <w:szCs w:val="24"/>
        </w:rPr>
        <w:t>econd level school and analysed</w:t>
      </w:r>
      <w:r w:rsidR="00E9320A">
        <w:rPr>
          <w:sz w:val="24"/>
          <w:szCs w:val="24"/>
        </w:rPr>
        <w:t xml:space="preserve">. Based on the success of this review it was determined that this Literacy Strategy would be implemented again in September 2015 for the new First Year students. </w:t>
      </w:r>
    </w:p>
    <w:p w:rsidR="00F37C32" w:rsidRPr="00F37C32" w:rsidRDefault="00F37C32" w:rsidP="005E4932">
      <w:pPr>
        <w:pStyle w:val="NoSpacing"/>
        <w:jc w:val="both"/>
        <w:rPr>
          <w:sz w:val="24"/>
          <w:szCs w:val="24"/>
        </w:rPr>
      </w:pPr>
    </w:p>
    <w:p w:rsidR="00F37C32" w:rsidRDefault="00F37C32" w:rsidP="005E4932">
      <w:pPr>
        <w:pStyle w:val="NoSpacing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Numeracy:</w:t>
      </w:r>
    </w:p>
    <w:p w:rsidR="00F26327" w:rsidRPr="005E4932" w:rsidRDefault="00F26327" w:rsidP="00F26327">
      <w:pPr>
        <w:pStyle w:val="NoSpacing"/>
        <w:jc w:val="both"/>
        <w:rPr>
          <w:sz w:val="24"/>
          <w:szCs w:val="24"/>
        </w:rPr>
      </w:pPr>
      <w:r w:rsidRPr="005E4932">
        <w:rPr>
          <w:sz w:val="24"/>
          <w:szCs w:val="24"/>
        </w:rPr>
        <w:t xml:space="preserve">An on-line questionnaire </w:t>
      </w:r>
      <w:r>
        <w:rPr>
          <w:i/>
          <w:sz w:val="24"/>
          <w:szCs w:val="24"/>
        </w:rPr>
        <w:t xml:space="preserve">(see Appendix 1) </w:t>
      </w:r>
      <w:r w:rsidRPr="005E4932">
        <w:rPr>
          <w:sz w:val="24"/>
          <w:szCs w:val="24"/>
        </w:rPr>
        <w:t xml:space="preserve">was formulated to cover the area of </w:t>
      </w:r>
      <w:r>
        <w:rPr>
          <w:sz w:val="24"/>
          <w:szCs w:val="24"/>
        </w:rPr>
        <w:t xml:space="preserve">Maths </w:t>
      </w:r>
      <w:r w:rsidRPr="005E4932">
        <w:rPr>
          <w:sz w:val="24"/>
          <w:szCs w:val="24"/>
        </w:rPr>
        <w:t xml:space="preserve">Literacy </w:t>
      </w:r>
      <w:r>
        <w:rPr>
          <w:sz w:val="24"/>
          <w:szCs w:val="24"/>
        </w:rPr>
        <w:t>and administered to the</w:t>
      </w:r>
      <w:r w:rsidRPr="005E4932">
        <w:rPr>
          <w:sz w:val="24"/>
          <w:szCs w:val="24"/>
        </w:rPr>
        <w:t xml:space="preserve"> Firs</w:t>
      </w:r>
      <w:r>
        <w:rPr>
          <w:sz w:val="24"/>
          <w:szCs w:val="24"/>
        </w:rPr>
        <w:t>t Year Students in September 2015</w:t>
      </w:r>
      <w:r w:rsidRPr="005E4932">
        <w:rPr>
          <w:sz w:val="24"/>
          <w:szCs w:val="24"/>
        </w:rPr>
        <w:t xml:space="preserve">. Once these surveys were collated, analysis began immediately.  </w:t>
      </w:r>
    </w:p>
    <w:p w:rsidR="00F26327" w:rsidRDefault="00F26327" w:rsidP="005E4932">
      <w:pPr>
        <w:pStyle w:val="NoSpacing"/>
        <w:jc w:val="both"/>
        <w:rPr>
          <w:i/>
          <w:sz w:val="24"/>
          <w:szCs w:val="24"/>
          <w:u w:val="single"/>
        </w:rPr>
      </w:pPr>
    </w:p>
    <w:p w:rsidR="005E4932" w:rsidRPr="005E4932" w:rsidRDefault="00F37C32" w:rsidP="005E49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CAT 4</w:t>
      </w:r>
      <w:r w:rsidR="00112D36">
        <w:rPr>
          <w:sz w:val="24"/>
          <w:szCs w:val="24"/>
        </w:rPr>
        <w:t xml:space="preserve"> Cognitive Abilities Test </w:t>
      </w:r>
      <w:r w:rsidR="005E4932" w:rsidRPr="005E4932">
        <w:rPr>
          <w:sz w:val="24"/>
          <w:szCs w:val="24"/>
        </w:rPr>
        <w:t>administered to the incoming Firs</w:t>
      </w:r>
      <w:r w:rsidR="00112D36">
        <w:rPr>
          <w:sz w:val="24"/>
          <w:szCs w:val="24"/>
        </w:rPr>
        <w:t>t Year Students in February 2015</w:t>
      </w:r>
      <w:r w:rsidR="005E4932" w:rsidRPr="005E4932">
        <w:rPr>
          <w:sz w:val="24"/>
          <w:szCs w:val="24"/>
        </w:rPr>
        <w:t>, prior to entry.</w:t>
      </w:r>
      <w:r w:rsidR="00112D36">
        <w:rPr>
          <w:sz w:val="24"/>
          <w:szCs w:val="24"/>
        </w:rPr>
        <w:t xml:space="preserve"> This assessment tool contains two section directly analysing the numeracy standard of the students, i.e. Number </w:t>
      </w:r>
      <w:r>
        <w:rPr>
          <w:sz w:val="24"/>
          <w:szCs w:val="24"/>
        </w:rPr>
        <w:t>Analogies</w:t>
      </w:r>
      <w:r w:rsidR="00112D36">
        <w:rPr>
          <w:sz w:val="24"/>
          <w:szCs w:val="24"/>
        </w:rPr>
        <w:t xml:space="preserve"> (18 questions) and Number Series (18 questions) </w:t>
      </w:r>
      <w:r w:rsidR="00112D36">
        <w:rPr>
          <w:i/>
          <w:sz w:val="24"/>
          <w:szCs w:val="24"/>
        </w:rPr>
        <w:t xml:space="preserve">(see appendix 1). </w:t>
      </w:r>
      <w:r w:rsidR="005E4932" w:rsidRPr="005E4932">
        <w:rPr>
          <w:sz w:val="24"/>
          <w:szCs w:val="24"/>
        </w:rPr>
        <w:t xml:space="preserve">Once these surveys were collated, analysis began immediately.  </w:t>
      </w:r>
    </w:p>
    <w:p w:rsidR="005E4932" w:rsidRDefault="005E4932" w:rsidP="005E4932">
      <w:pPr>
        <w:pStyle w:val="NoSpacing"/>
        <w:jc w:val="both"/>
        <w:rPr>
          <w:sz w:val="24"/>
          <w:szCs w:val="24"/>
        </w:rPr>
      </w:pPr>
    </w:p>
    <w:p w:rsidR="005E4932" w:rsidRPr="00EA4DDE" w:rsidRDefault="005E4932" w:rsidP="005E4932">
      <w:pPr>
        <w:pStyle w:val="NoSpacing"/>
        <w:jc w:val="both"/>
        <w:rPr>
          <w:i/>
          <w:sz w:val="24"/>
          <w:szCs w:val="24"/>
        </w:rPr>
      </w:pPr>
      <w:r w:rsidRPr="00EA4DDE">
        <w:rPr>
          <w:i/>
          <w:sz w:val="24"/>
          <w:szCs w:val="24"/>
        </w:rPr>
        <w:t>Findings from Student Survey</w:t>
      </w:r>
    </w:p>
    <w:p w:rsidR="00B924E7" w:rsidRDefault="00B924E7" w:rsidP="005E4932">
      <w:pPr>
        <w:pStyle w:val="NoSpacing"/>
        <w:jc w:val="both"/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</w:pPr>
      <w:r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  <w:t xml:space="preserve">From Question one of the Survey </w:t>
      </w:r>
      <w:r w:rsidR="00A11577"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  <w:t xml:space="preserve">36% of students liked Maths and </w:t>
      </w:r>
      <w:r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  <w:t>2% answered that they felt their teachers like</w:t>
      </w:r>
      <w:r w:rsidR="00A74F2F"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  <w:t>d</w:t>
      </w:r>
      <w:r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  <w:t xml:space="preserve"> maths and only 3% of students felt they would need maths after they leave school.  </w:t>
      </w:r>
    </w:p>
    <w:p w:rsidR="00D6713E" w:rsidRPr="005E4932" w:rsidRDefault="00D6713E" w:rsidP="005E4932">
      <w:pPr>
        <w:pStyle w:val="NoSpacing"/>
        <w:jc w:val="both"/>
        <w:rPr>
          <w:rFonts w:eastAsia="Helvetica" w:cs="Helvetica"/>
          <w:color w:val="000000"/>
          <w:position w:val="4"/>
          <w:sz w:val="24"/>
          <w:szCs w:val="24"/>
          <w:bdr w:val="nil"/>
          <w:lang w:val="en-GB" w:eastAsia="en-IE"/>
        </w:rPr>
      </w:pPr>
    </w:p>
    <w:p w:rsidR="005E4932" w:rsidRPr="005E4932" w:rsidRDefault="00C57560" w:rsidP="005E4932">
      <w:pPr>
        <w:pStyle w:val="NoSpacing"/>
        <w:jc w:val="both"/>
        <w:rPr>
          <w:i/>
          <w:sz w:val="24"/>
          <w:szCs w:val="24"/>
        </w:rPr>
      </w:pPr>
      <w:r w:rsidRPr="005E4932">
        <w:rPr>
          <w:i/>
          <w:sz w:val="24"/>
          <w:szCs w:val="24"/>
        </w:rPr>
        <w:t>Teachers’ Practice</w:t>
      </w:r>
    </w:p>
    <w:p w:rsidR="005E4932" w:rsidRPr="005E4932" w:rsidRDefault="00F26327" w:rsidP="005E49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a Staff Meeting in September of 2015, </w:t>
      </w:r>
      <w:r w:rsidR="005E4932" w:rsidRPr="005E4932">
        <w:rPr>
          <w:sz w:val="24"/>
          <w:szCs w:val="24"/>
        </w:rPr>
        <w:t>teacher</w:t>
      </w:r>
      <w:r w:rsidR="00C57560">
        <w:rPr>
          <w:sz w:val="24"/>
          <w:szCs w:val="24"/>
        </w:rPr>
        <w:t>s</w:t>
      </w:r>
      <w:r w:rsidR="005E4932" w:rsidRPr="005E4932">
        <w:rPr>
          <w:sz w:val="24"/>
          <w:szCs w:val="24"/>
        </w:rPr>
        <w:t xml:space="preserve"> completed a survey on </w:t>
      </w:r>
      <w:r>
        <w:rPr>
          <w:sz w:val="24"/>
          <w:szCs w:val="24"/>
        </w:rPr>
        <w:t xml:space="preserve">Numeracy </w:t>
      </w:r>
      <w:r w:rsidR="005E4932" w:rsidRPr="005E4932">
        <w:rPr>
          <w:sz w:val="24"/>
          <w:szCs w:val="24"/>
        </w:rPr>
        <w:t>Teaching and Learning within their own classroom experiences</w:t>
      </w:r>
      <w:r w:rsidR="00C57560">
        <w:rPr>
          <w:sz w:val="24"/>
          <w:szCs w:val="24"/>
        </w:rPr>
        <w:t xml:space="preserve"> </w:t>
      </w:r>
      <w:r w:rsidR="00C57560">
        <w:rPr>
          <w:i/>
          <w:sz w:val="24"/>
          <w:szCs w:val="24"/>
        </w:rPr>
        <w:t>(see Appendix 2)</w:t>
      </w:r>
      <w:r w:rsidR="005E4932" w:rsidRPr="005E4932">
        <w:rPr>
          <w:sz w:val="24"/>
          <w:szCs w:val="24"/>
        </w:rPr>
        <w:t>. After analysis it was decided that the area in most need of foc</w:t>
      </w:r>
      <w:r>
        <w:rPr>
          <w:sz w:val="24"/>
          <w:szCs w:val="24"/>
        </w:rPr>
        <w:t xml:space="preserve">us was the area of </w:t>
      </w:r>
      <w:r w:rsidR="00F75122">
        <w:rPr>
          <w:sz w:val="24"/>
          <w:szCs w:val="24"/>
        </w:rPr>
        <w:t>Maths Literacy and Everyday maths</w:t>
      </w:r>
      <w:r w:rsidR="005E4932" w:rsidRPr="005E4932">
        <w:rPr>
          <w:sz w:val="24"/>
          <w:szCs w:val="24"/>
        </w:rPr>
        <w:t xml:space="preserve">. </w:t>
      </w: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</w:p>
    <w:p w:rsidR="005E4932" w:rsidRPr="00C57560" w:rsidRDefault="005E4932" w:rsidP="005E4932">
      <w:pPr>
        <w:pStyle w:val="NoSpacing"/>
        <w:jc w:val="both"/>
        <w:rPr>
          <w:i/>
          <w:sz w:val="24"/>
          <w:szCs w:val="24"/>
        </w:rPr>
      </w:pPr>
      <w:r w:rsidRPr="00C57560">
        <w:rPr>
          <w:i/>
          <w:sz w:val="24"/>
          <w:szCs w:val="24"/>
        </w:rPr>
        <w:t>Findings from Teacher Survey</w:t>
      </w:r>
    </w:p>
    <w:p w:rsidR="005E4932" w:rsidRPr="005E4932" w:rsidRDefault="00E9320A" w:rsidP="005E493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 one on the Staff Survey revealed that only 6% of teachers felt there was a consistent approach to maths calculations and language across the school. </w:t>
      </w: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</w:p>
    <w:p w:rsidR="005E4932" w:rsidRPr="005E4932" w:rsidRDefault="005E4932" w:rsidP="005E4932">
      <w:pPr>
        <w:pStyle w:val="NoSpacing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5E4932">
        <w:rPr>
          <w:b/>
          <w:sz w:val="24"/>
          <w:szCs w:val="24"/>
          <w:u w:val="single"/>
        </w:rPr>
        <w:t>Summary of School Self-Evaluation Findings:</w:t>
      </w:r>
    </w:p>
    <w:p w:rsidR="005E4932" w:rsidRPr="005E4932" w:rsidRDefault="005E4932" w:rsidP="005E4932">
      <w:pPr>
        <w:pStyle w:val="NoSpacing"/>
        <w:jc w:val="both"/>
        <w:rPr>
          <w:b/>
          <w:i/>
          <w:sz w:val="24"/>
          <w:szCs w:val="24"/>
        </w:rPr>
      </w:pPr>
    </w:p>
    <w:p w:rsidR="005E4932" w:rsidRPr="005E4932" w:rsidRDefault="005E4932" w:rsidP="005E4932">
      <w:pPr>
        <w:pStyle w:val="NoSpacing"/>
        <w:jc w:val="both"/>
        <w:rPr>
          <w:sz w:val="24"/>
          <w:szCs w:val="24"/>
        </w:rPr>
      </w:pPr>
      <w:r w:rsidRPr="005E4932">
        <w:rPr>
          <w:sz w:val="24"/>
          <w:szCs w:val="24"/>
        </w:rPr>
        <w:t>Our evaluation identified the following strengths:</w:t>
      </w:r>
    </w:p>
    <w:p w:rsidR="005E4932" w:rsidRPr="00D6713E" w:rsidRDefault="00B924E7" w:rsidP="005E4932">
      <w:pPr>
        <w:pStyle w:val="NoSpacing"/>
        <w:numPr>
          <w:ilvl w:val="0"/>
          <w:numId w:val="9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</w:rPr>
        <w:t xml:space="preserve">70% of students stated that they like Maths </w:t>
      </w:r>
    </w:p>
    <w:p w:rsidR="00D6713E" w:rsidRPr="00D6713E" w:rsidRDefault="00D6713E" w:rsidP="005E4932">
      <w:pPr>
        <w:pStyle w:val="NoSpacing"/>
        <w:numPr>
          <w:ilvl w:val="0"/>
          <w:numId w:val="9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</w:rPr>
        <w:t xml:space="preserve">54% felt they will do Honours Maths at Junior Cycle Exams </w:t>
      </w:r>
    </w:p>
    <w:p w:rsidR="00D6713E" w:rsidRPr="00D6713E" w:rsidRDefault="00D6713E" w:rsidP="005E4932">
      <w:pPr>
        <w:pStyle w:val="NoSpacing"/>
        <w:numPr>
          <w:ilvl w:val="0"/>
          <w:numId w:val="9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</w:rPr>
        <w:t>82% check over their own work for errors</w:t>
      </w:r>
    </w:p>
    <w:p w:rsidR="00D6713E" w:rsidRPr="00D6713E" w:rsidRDefault="00D6713E" w:rsidP="005E4932">
      <w:pPr>
        <w:pStyle w:val="NoSpacing"/>
        <w:numPr>
          <w:ilvl w:val="0"/>
          <w:numId w:val="9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</w:rPr>
        <w:t>78% feels that they understand best when the teacher explains where they went wrong</w:t>
      </w:r>
    </w:p>
    <w:p w:rsidR="00D6713E" w:rsidRPr="00D6713E" w:rsidRDefault="00D6713E" w:rsidP="005E4932">
      <w:pPr>
        <w:pStyle w:val="NoSpacing"/>
        <w:numPr>
          <w:ilvl w:val="0"/>
          <w:numId w:val="9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</w:rPr>
        <w:t xml:space="preserve">92% of students feel they learn best when listening to the teacher  </w:t>
      </w:r>
    </w:p>
    <w:p w:rsidR="00D6713E" w:rsidRPr="005E4932" w:rsidRDefault="00D6713E" w:rsidP="00D6713E">
      <w:pPr>
        <w:pStyle w:val="NoSpacing"/>
        <w:ind w:left="720"/>
        <w:jc w:val="both"/>
        <w:rPr>
          <w:position w:val="4"/>
          <w:sz w:val="24"/>
          <w:szCs w:val="24"/>
        </w:rPr>
      </w:pPr>
    </w:p>
    <w:p w:rsidR="00B924E7" w:rsidRDefault="00B924E7" w:rsidP="005E4932">
      <w:pPr>
        <w:pStyle w:val="NoSpacing"/>
        <w:jc w:val="both"/>
        <w:rPr>
          <w:position w:val="4"/>
          <w:sz w:val="24"/>
          <w:szCs w:val="24"/>
        </w:rPr>
      </w:pPr>
    </w:p>
    <w:p w:rsidR="005E4932" w:rsidRPr="005E4932" w:rsidRDefault="005E4932" w:rsidP="005E4932">
      <w:pPr>
        <w:pStyle w:val="NoSpacing"/>
        <w:jc w:val="both"/>
        <w:rPr>
          <w:position w:val="4"/>
          <w:sz w:val="24"/>
          <w:szCs w:val="24"/>
        </w:rPr>
      </w:pPr>
      <w:r w:rsidRPr="005E4932">
        <w:rPr>
          <w:position w:val="4"/>
          <w:sz w:val="24"/>
          <w:szCs w:val="24"/>
        </w:rPr>
        <w:t>The following areas are prioritised for improvement:</w:t>
      </w:r>
    </w:p>
    <w:p w:rsidR="005E4932" w:rsidRPr="005E4932" w:rsidRDefault="005E4932" w:rsidP="005E4932">
      <w:pPr>
        <w:pStyle w:val="NoSpacing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 w:rsidRPr="005E4932">
        <w:rPr>
          <w:position w:val="4"/>
          <w:sz w:val="24"/>
          <w:szCs w:val="24"/>
        </w:rPr>
        <w:t>Teacher</w:t>
      </w:r>
      <w:r w:rsidR="00C57560">
        <w:rPr>
          <w:position w:val="4"/>
          <w:sz w:val="24"/>
          <w:szCs w:val="24"/>
        </w:rPr>
        <w:t>s</w:t>
      </w:r>
      <w:r w:rsidRPr="005E4932">
        <w:rPr>
          <w:position w:val="4"/>
          <w:sz w:val="24"/>
          <w:szCs w:val="24"/>
        </w:rPr>
        <w:t xml:space="preserve"> to focus on the development of </w:t>
      </w:r>
      <w:r w:rsidR="00B924E7">
        <w:rPr>
          <w:position w:val="4"/>
          <w:sz w:val="24"/>
          <w:szCs w:val="24"/>
        </w:rPr>
        <w:t xml:space="preserve">Maths </w:t>
      </w:r>
      <w:r w:rsidRPr="005E4932">
        <w:rPr>
          <w:position w:val="4"/>
          <w:sz w:val="24"/>
          <w:szCs w:val="24"/>
        </w:rPr>
        <w:t xml:space="preserve">literacy in their teaching </w:t>
      </w:r>
      <w:r w:rsidR="00D6713E">
        <w:rPr>
          <w:position w:val="4"/>
          <w:sz w:val="24"/>
          <w:szCs w:val="24"/>
        </w:rPr>
        <w:t xml:space="preserve">as well as knowledge and skills, specific focus will </w:t>
      </w:r>
      <w:r w:rsidR="00A11577">
        <w:rPr>
          <w:position w:val="4"/>
          <w:sz w:val="24"/>
          <w:szCs w:val="24"/>
        </w:rPr>
        <w:t>b</w:t>
      </w:r>
      <w:r w:rsidR="00D6713E">
        <w:rPr>
          <w:position w:val="4"/>
          <w:sz w:val="24"/>
          <w:szCs w:val="24"/>
        </w:rPr>
        <w:t xml:space="preserve">e given to language teachers who will teacher Maths Literacy through their specific language. </w:t>
      </w:r>
    </w:p>
    <w:p w:rsidR="00F75122" w:rsidRPr="00F75122" w:rsidRDefault="00B924E7" w:rsidP="00F75122">
      <w:pPr>
        <w:pStyle w:val="NoSpacing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>
        <w:rPr>
          <w:position w:val="4"/>
          <w:sz w:val="24"/>
          <w:szCs w:val="24"/>
        </w:rPr>
        <w:t>Teacher would strive to educate students on the role maths play in their everyday life. The School</w:t>
      </w:r>
      <w:r w:rsidR="005E4932" w:rsidRPr="005E4932">
        <w:rPr>
          <w:position w:val="4"/>
          <w:sz w:val="24"/>
          <w:szCs w:val="24"/>
        </w:rPr>
        <w:t xml:space="preserve"> will implement </w:t>
      </w:r>
      <w:r>
        <w:rPr>
          <w:position w:val="4"/>
          <w:sz w:val="24"/>
          <w:szCs w:val="24"/>
        </w:rPr>
        <w:t xml:space="preserve">a Maths Event incorporating the idea of ‘Everyday Maths’ where students will design a poster advertising the use of maths in an everyday situation. </w:t>
      </w:r>
    </w:p>
    <w:p w:rsidR="005E4932" w:rsidRDefault="00B924E7" w:rsidP="005E4932">
      <w:pPr>
        <w:pStyle w:val="NoSpacing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>
        <w:rPr>
          <w:position w:val="4"/>
          <w:sz w:val="24"/>
          <w:szCs w:val="24"/>
        </w:rPr>
        <w:lastRenderedPageBreak/>
        <w:t>Teachers will continue</w:t>
      </w:r>
      <w:r w:rsidR="005E4932" w:rsidRPr="005E4932">
        <w:rPr>
          <w:position w:val="4"/>
          <w:sz w:val="24"/>
          <w:szCs w:val="24"/>
        </w:rPr>
        <w:t xml:space="preserve"> to focus on improving the Numeracy Skills of the students by incorporating the Numeracy Strategy: Students will be expected to work out </w:t>
      </w:r>
      <w:r w:rsidR="005E4932" w:rsidRPr="005E4932">
        <w:rPr>
          <w:b/>
          <w:bCs/>
          <w:position w:val="4"/>
          <w:sz w:val="24"/>
          <w:szCs w:val="24"/>
        </w:rPr>
        <w:t xml:space="preserve">WITH PEN AND PAPER </w:t>
      </w:r>
      <w:r w:rsidR="005E4932" w:rsidRPr="005E4932">
        <w:rPr>
          <w:position w:val="4"/>
          <w:sz w:val="24"/>
          <w:szCs w:val="24"/>
        </w:rPr>
        <w:t xml:space="preserve">the results of class tests etc. </w:t>
      </w:r>
      <w:r w:rsidR="00F75122">
        <w:rPr>
          <w:position w:val="4"/>
          <w:sz w:val="24"/>
          <w:szCs w:val="24"/>
        </w:rPr>
        <w:t xml:space="preserve">the Method used for this will be advertised around the school building. </w:t>
      </w:r>
    </w:p>
    <w:p w:rsidR="00E9320A" w:rsidRDefault="00E9320A" w:rsidP="005E4932">
      <w:pPr>
        <w:pStyle w:val="NoSpacing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>
        <w:rPr>
          <w:position w:val="4"/>
          <w:sz w:val="24"/>
          <w:szCs w:val="24"/>
        </w:rPr>
        <w:t>Use of posters around the school building of Maths Terms to improve the students’ awareness of Maths terms.</w:t>
      </w:r>
    </w:p>
    <w:p w:rsidR="00E9320A" w:rsidRDefault="00A74F2F" w:rsidP="005E4932">
      <w:pPr>
        <w:pStyle w:val="NoSpacing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>
        <w:rPr>
          <w:position w:val="4"/>
          <w:sz w:val="24"/>
          <w:szCs w:val="24"/>
        </w:rPr>
        <w:t>To support t</w:t>
      </w:r>
      <w:r w:rsidR="00E9320A">
        <w:rPr>
          <w:position w:val="4"/>
          <w:sz w:val="24"/>
          <w:szCs w:val="24"/>
        </w:rPr>
        <w:t>h</w:t>
      </w:r>
      <w:r>
        <w:rPr>
          <w:position w:val="4"/>
          <w:sz w:val="24"/>
          <w:szCs w:val="24"/>
        </w:rPr>
        <w:t>e</w:t>
      </w:r>
      <w:r w:rsidR="00E9320A">
        <w:rPr>
          <w:position w:val="4"/>
          <w:sz w:val="24"/>
          <w:szCs w:val="24"/>
        </w:rPr>
        <w:t xml:space="preserve"> strategy to allow students to tally their own test results, a poster of ‘working out your percentage’ would be placed around the school building and on the shared drive for use by teachers on their projectors in their classrooms. </w:t>
      </w:r>
    </w:p>
    <w:p w:rsidR="007148B6" w:rsidRDefault="007148B6" w:rsidP="007148B6">
      <w:pPr>
        <w:pStyle w:val="NoSpacing"/>
        <w:jc w:val="both"/>
        <w:rPr>
          <w:position w:val="4"/>
          <w:sz w:val="24"/>
          <w:szCs w:val="24"/>
        </w:rPr>
      </w:pPr>
    </w:p>
    <w:p w:rsidR="007148B6" w:rsidRDefault="007148B6" w:rsidP="007148B6">
      <w:pPr>
        <w:pStyle w:val="NoSpacing"/>
        <w:jc w:val="both"/>
        <w:rPr>
          <w:position w:val="4"/>
          <w:sz w:val="24"/>
          <w:szCs w:val="24"/>
        </w:rPr>
      </w:pPr>
    </w:p>
    <w:p w:rsidR="007148B6" w:rsidRPr="007148B6" w:rsidRDefault="007148B6" w:rsidP="007148B6">
      <w:pPr>
        <w:pStyle w:val="NoSpacing"/>
        <w:jc w:val="both"/>
        <w:rPr>
          <w:b/>
          <w:position w:val="4"/>
          <w:sz w:val="24"/>
          <w:szCs w:val="24"/>
        </w:rPr>
      </w:pPr>
      <w:r w:rsidRPr="007148B6">
        <w:rPr>
          <w:b/>
          <w:position w:val="4"/>
          <w:sz w:val="24"/>
          <w:szCs w:val="24"/>
        </w:rPr>
        <w:t>The following legislative and regulatory requirements need to be addressed:</w:t>
      </w:r>
    </w:p>
    <w:p w:rsidR="007148B6" w:rsidRPr="007148B6" w:rsidRDefault="007148B6" w:rsidP="007148B6">
      <w:pPr>
        <w:pStyle w:val="NoSpacing"/>
        <w:numPr>
          <w:ilvl w:val="0"/>
          <w:numId w:val="18"/>
        </w:numPr>
        <w:jc w:val="both"/>
        <w:rPr>
          <w:position w:val="4"/>
          <w:sz w:val="24"/>
          <w:szCs w:val="24"/>
        </w:rPr>
      </w:pPr>
      <w:r>
        <w:rPr>
          <w:position w:val="4"/>
          <w:sz w:val="24"/>
          <w:szCs w:val="24"/>
        </w:rPr>
        <w:t>The Whol</w:t>
      </w:r>
      <w:r w:rsidR="00F26327">
        <w:rPr>
          <w:position w:val="4"/>
          <w:sz w:val="24"/>
          <w:szCs w:val="24"/>
        </w:rPr>
        <w:t xml:space="preserve">e School Guidance Plan is currently </w:t>
      </w:r>
      <w:r>
        <w:rPr>
          <w:position w:val="4"/>
          <w:sz w:val="24"/>
          <w:szCs w:val="24"/>
        </w:rPr>
        <w:t>be</w:t>
      </w:r>
      <w:r w:rsidR="00F26327">
        <w:rPr>
          <w:position w:val="4"/>
          <w:sz w:val="24"/>
          <w:szCs w:val="24"/>
        </w:rPr>
        <w:t>ing</w:t>
      </w:r>
      <w:r>
        <w:rPr>
          <w:position w:val="4"/>
          <w:sz w:val="24"/>
          <w:szCs w:val="24"/>
        </w:rPr>
        <w:t xml:space="preserve"> updated. </w:t>
      </w:r>
    </w:p>
    <w:p w:rsidR="004E55BC" w:rsidRPr="005E4932" w:rsidRDefault="004E55BC" w:rsidP="009A1D17">
      <w:pPr>
        <w:jc w:val="both"/>
        <w:rPr>
          <w:position w:val="4"/>
          <w:sz w:val="24"/>
          <w:szCs w:val="24"/>
        </w:rPr>
      </w:pPr>
    </w:p>
    <w:p w:rsidR="000D3DB7" w:rsidRPr="005E4932" w:rsidRDefault="000D3DB7" w:rsidP="009A1D17">
      <w:pPr>
        <w:jc w:val="both"/>
        <w:rPr>
          <w:position w:val="4"/>
          <w:sz w:val="24"/>
          <w:szCs w:val="24"/>
        </w:rPr>
      </w:pPr>
    </w:p>
    <w:p w:rsidR="004E55BC" w:rsidRPr="005E4932" w:rsidRDefault="004E55BC" w:rsidP="009A1D17">
      <w:pPr>
        <w:jc w:val="both"/>
        <w:rPr>
          <w:position w:val="4"/>
          <w:sz w:val="24"/>
          <w:szCs w:val="24"/>
        </w:rPr>
      </w:pPr>
    </w:p>
    <w:p w:rsidR="000D3DB7" w:rsidRPr="005E4932" w:rsidRDefault="000D3DB7">
      <w:pPr>
        <w:rPr>
          <w:position w:val="4"/>
          <w:sz w:val="24"/>
          <w:szCs w:val="24"/>
        </w:rPr>
      </w:pPr>
      <w:r w:rsidRPr="005E4932">
        <w:rPr>
          <w:position w:val="4"/>
          <w:sz w:val="24"/>
          <w:szCs w:val="24"/>
        </w:rPr>
        <w:br w:type="page"/>
      </w:r>
    </w:p>
    <w:p w:rsidR="0000522B" w:rsidRDefault="0000522B" w:rsidP="0000522B">
      <w:pPr>
        <w:jc w:val="center"/>
        <w:rPr>
          <w:rFonts w:ascii="Arial" w:hAnsi="Arial" w:cs="Arial"/>
          <w:b/>
          <w:bCs/>
        </w:rPr>
      </w:pPr>
      <w:r w:rsidRPr="00E43064">
        <w:rPr>
          <w:rFonts w:ascii="Arial" w:hAnsi="Arial" w:cs="Arial"/>
          <w:b/>
          <w:bCs/>
        </w:rPr>
        <w:lastRenderedPageBreak/>
        <w:t>Appendix to School Self-Evaluation Report</w:t>
      </w:r>
      <w:r>
        <w:rPr>
          <w:rFonts w:ascii="Arial" w:hAnsi="Arial" w:cs="Arial"/>
          <w:b/>
          <w:bCs/>
        </w:rPr>
        <w:t>:</w:t>
      </w:r>
    </w:p>
    <w:p w:rsidR="0000522B" w:rsidRPr="00E43064" w:rsidRDefault="0000522B" w:rsidP="000052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legislative and regulatory checklist</w:t>
      </w:r>
    </w:p>
    <w:tbl>
      <w:tblPr>
        <w:tblW w:w="56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939"/>
        <w:gridCol w:w="818"/>
        <w:gridCol w:w="1515"/>
        <w:gridCol w:w="1756"/>
        <w:gridCol w:w="1097"/>
      </w:tblGrid>
      <w:tr w:rsidR="0000522B" w:rsidRPr="00C04536" w:rsidTr="00F16DE3">
        <w:trPr>
          <w:tblHeader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FFCC99"/>
          </w:tcPr>
          <w:p w:rsidR="0000522B" w:rsidRPr="00881C56" w:rsidRDefault="0000522B" w:rsidP="007148B6">
            <w:pPr>
              <w:rPr>
                <w:b/>
                <w:sz w:val="18"/>
                <w:szCs w:val="18"/>
              </w:rPr>
            </w:pPr>
            <w:r w:rsidRPr="00881C56">
              <w:rPr>
                <w:b/>
                <w:sz w:val="18"/>
                <w:szCs w:val="18"/>
              </w:rPr>
              <w:t>Issue</w:t>
            </w:r>
          </w:p>
        </w:tc>
        <w:tc>
          <w:tcPr>
            <w:tcW w:w="2513" w:type="pct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00522B" w:rsidRPr="00881C56" w:rsidRDefault="0000522B" w:rsidP="007148B6">
            <w:pPr>
              <w:rPr>
                <w:b/>
                <w:sz w:val="18"/>
                <w:szCs w:val="18"/>
              </w:rPr>
            </w:pPr>
            <w:r w:rsidRPr="00881C56">
              <w:rPr>
                <w:b/>
                <w:sz w:val="18"/>
                <w:szCs w:val="18"/>
              </w:rPr>
              <w:t>Relevant legislation, rule or circular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FFCC99"/>
          </w:tcPr>
          <w:p w:rsidR="0000522B" w:rsidRPr="00881C56" w:rsidRDefault="0000522B" w:rsidP="007148B6">
            <w:pPr>
              <w:rPr>
                <w:sz w:val="18"/>
                <w:szCs w:val="18"/>
              </w:rPr>
            </w:pPr>
            <w:r w:rsidRPr="00881C56">
              <w:rPr>
                <w:b/>
                <w:sz w:val="18"/>
                <w:szCs w:val="18"/>
              </w:rPr>
              <w:t>Is the school fully meeting the requirements of the relevant legislation, rule or circular?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CC99"/>
          </w:tcPr>
          <w:p w:rsidR="0000522B" w:rsidRPr="00881C56" w:rsidRDefault="0000522B" w:rsidP="007148B6">
            <w:pPr>
              <w:rPr>
                <w:sz w:val="18"/>
                <w:szCs w:val="18"/>
              </w:rPr>
            </w:pPr>
            <w:r w:rsidRPr="00881C56">
              <w:rPr>
                <w:b/>
                <w:sz w:val="18"/>
                <w:szCs w:val="18"/>
              </w:rPr>
              <w:t>If no, indicate aspects to be developed</w:t>
            </w: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Valid enrolment of students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M51/93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Time in school</w:t>
            </w:r>
          </w:p>
          <w:p w:rsidR="0000522B" w:rsidRPr="00C04536" w:rsidRDefault="0000522B" w:rsidP="0000522B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Length of school year (minimum of 167 days for all year groups)</w:t>
            </w:r>
          </w:p>
          <w:p w:rsidR="0000522B" w:rsidRPr="00C04536" w:rsidRDefault="0000522B" w:rsidP="0000522B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Length of school week (minimum of 28 hours for all year groups)</w:t>
            </w:r>
          </w:p>
          <w:p w:rsidR="0000522B" w:rsidRPr="00C04536" w:rsidRDefault="0000522B" w:rsidP="007148B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M29/95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Standardisation of school year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034/2011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Arrangements for parent/teacher and staff meetings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M58/04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of national literacy strategy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Circular </w:t>
            </w:r>
            <w:r>
              <w:rPr>
                <w:rFonts w:ascii="Arial" w:hAnsi="Arial" w:cs="Arial"/>
                <w:sz w:val="20"/>
                <w:szCs w:val="20"/>
              </w:rPr>
              <w:t>25/12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Implementation of </w:t>
            </w:r>
            <w:smartTag w:uri="urn:schemas-microsoft-com:office:smarttags" w:element="place">
              <w:smartTag w:uri="urn:schemas-microsoft-com:office:smarttags" w:element="PlaceName">
                <w:r w:rsidRPr="00C04536">
                  <w:rPr>
                    <w:rFonts w:ascii="Arial" w:hAnsi="Arial" w:cs="Arial"/>
                    <w:sz w:val="20"/>
                    <w:szCs w:val="20"/>
                  </w:rPr>
                  <w:t>Croke</w:t>
                </w:r>
              </w:smartTag>
              <w:r w:rsidRPr="00C0453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04536">
                  <w:rPr>
                    <w:rFonts w:ascii="Arial" w:hAnsi="Arial" w:cs="Arial"/>
                    <w:sz w:val="20"/>
                    <w:szCs w:val="20"/>
                  </w:rPr>
                  <w:t>Park</w:t>
                </w:r>
              </w:smartTag>
            </w:smartTag>
            <w:r w:rsidRPr="00C04536">
              <w:rPr>
                <w:rFonts w:ascii="Arial" w:hAnsi="Arial" w:cs="Arial"/>
                <w:sz w:val="20"/>
                <w:szCs w:val="20"/>
              </w:rPr>
              <w:t xml:space="preserve"> agreement regarding additional time requirement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025/2011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Development of school plan</w:t>
            </w: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Section 21 Education Act 1998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Guidance provision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in secondary schools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PPT12/05, Education Act 1998 (section 9(c))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Whole-school guidance plan</w:t>
            </w: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Section 21 Education Act 1998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CCFFFF"/>
          </w:tcPr>
          <w:p w:rsidR="0000522B" w:rsidRPr="00C04536" w:rsidRDefault="007148B6" w:rsidP="00714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Updating of plan required </w:t>
            </w:r>
          </w:p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Delivery of CSPE to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all junior cycle classes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M12/01 Circular M13/05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Exemption from the study of Irish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M10/94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Implementation of revised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in-school management structures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Circular M29/02, Circular 21/98, Circular 30/97, Circular 29/97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alleviation on filling posts of responsibility for school year 2011/12</w:t>
            </w:r>
          </w:p>
        </w:tc>
        <w:tc>
          <w:tcPr>
            <w:tcW w:w="2513" w:type="pct"/>
            <w:gridSpan w:val="3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53/11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c>
          <w:tcPr>
            <w:tcW w:w="1127" w:type="pct"/>
            <w:shd w:val="clear" w:color="auto" w:fill="CCFFFF"/>
          </w:tcPr>
          <w:p w:rsidR="0000522B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as partners in education</w:t>
            </w:r>
          </w:p>
        </w:tc>
        <w:tc>
          <w:tcPr>
            <w:tcW w:w="2513" w:type="pct"/>
            <w:gridSpan w:val="3"/>
            <w:shd w:val="clear" w:color="auto" w:fill="CCFFFF"/>
          </w:tcPr>
          <w:p w:rsidR="0000522B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M27/91</w:t>
            </w:r>
          </w:p>
        </w:tc>
        <w:tc>
          <w:tcPr>
            <w:tcW w:w="837" w:type="pct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1150"/>
        </w:trPr>
        <w:tc>
          <w:tcPr>
            <w:tcW w:w="1127" w:type="pct"/>
            <w:vMerge w:val="restart"/>
            <w:tcBorders>
              <w:bottom w:val="single" w:sz="4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Implementation of child protection procedures</w:t>
            </w:r>
          </w:p>
        </w:tc>
        <w:tc>
          <w:tcPr>
            <w:tcW w:w="2513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Circular 65/11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Please provide the following information in relation to child protection</w:t>
            </w:r>
          </w:p>
        </w:tc>
        <w:tc>
          <w:tcPr>
            <w:tcW w:w="837" w:type="pct"/>
            <w:vMerge w:val="restart"/>
            <w:tcBorders>
              <w:bottom w:val="single" w:sz="4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523" w:type="pct"/>
            <w:vMerge w:val="restart"/>
            <w:tcBorders>
              <w:bottom w:val="single" w:sz="4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4118"/>
        </w:trPr>
        <w:tc>
          <w:tcPr>
            <w:tcW w:w="1127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Del="004F38F8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bottom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▪ Number of cases where a report involving a child in the school was submitted by the DLP to the HSE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▪ Number of cases where a report involving a child in the school was submitted by the DLP to the HSE and the school board of management informed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▪ Number of cases where the DLP sought advice from the HSE and as a result of this advice, no report was made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DE3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▪ Number of cases where the DLP sought advice from the HSE and as a result of this advice, no report was made and the school board of management informed</w:t>
            </w:r>
          </w:p>
          <w:p w:rsidR="00F16DE3" w:rsidRDefault="00F16DE3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DE3" w:rsidRDefault="00F16DE3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DE3" w:rsidRDefault="00F16DE3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6DE3" w:rsidRPr="008D709C" w:rsidRDefault="00F16DE3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7148B6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1169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Implementation of complaints procedure as appropriate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Section 28 Education Act 1998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 xml:space="preserve">Please provide the following information in relation to complaints made by parents during this school year 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70"/>
        </w:trPr>
        <w:tc>
          <w:tcPr>
            <w:tcW w:w="1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Refusal to enrol</w:t>
            </w:r>
          </w:p>
        </w:tc>
        <w:tc>
          <w:tcPr>
            <w:tcW w:w="25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Section 29 Education Act 1998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Please provide the following information in relation to appeals taken in accordance with Section 29 against the school during this school year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60"/>
        </w:trPr>
        <w:tc>
          <w:tcPr>
            <w:tcW w:w="1127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section 29 cases taken against the school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processed at informal stage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heard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appeals upheld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 xml:space="preserve">Number of appeals dismissed </w:t>
            </w:r>
          </w:p>
        </w:tc>
        <w:tc>
          <w:tcPr>
            <w:tcW w:w="722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7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968"/>
        </w:trPr>
        <w:tc>
          <w:tcPr>
            <w:tcW w:w="112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4536">
              <w:rPr>
                <w:rFonts w:ascii="Arial" w:hAnsi="Arial" w:cs="Arial"/>
                <w:sz w:val="20"/>
                <w:szCs w:val="20"/>
              </w:rPr>
              <w:t>uspen</w:t>
            </w:r>
            <w:r>
              <w:rPr>
                <w:rFonts w:ascii="Arial" w:hAnsi="Arial" w:cs="Arial"/>
                <w:sz w:val="20"/>
                <w:szCs w:val="20"/>
              </w:rPr>
              <w:t>sion</w:t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of students</w:t>
            </w:r>
          </w:p>
        </w:tc>
        <w:tc>
          <w:tcPr>
            <w:tcW w:w="251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Section 29 Education Act 1998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Please provide the following information in relation to appeals taken in accordance with Section 29 against the school during this school year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967"/>
        </w:trPr>
        <w:tc>
          <w:tcPr>
            <w:tcW w:w="1127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section 29 cases taken against the school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processed at informal stage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heard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appeals upheld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 xml:space="preserve">Number of appeals dismissed 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F16DE3" w:rsidP="00F16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968"/>
        </w:trPr>
        <w:tc>
          <w:tcPr>
            <w:tcW w:w="112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Pr="00C04536">
              <w:rPr>
                <w:rFonts w:ascii="Arial" w:hAnsi="Arial" w:cs="Arial"/>
                <w:sz w:val="20"/>
                <w:szCs w:val="20"/>
              </w:rPr>
              <w:t>xpulsion of students</w:t>
            </w:r>
          </w:p>
        </w:tc>
        <w:tc>
          <w:tcPr>
            <w:tcW w:w="1401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Section 29 Education Act 1998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Please provide the following information in relation to appeals taken in accordance with Section 29 against the school during this school year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F16DE3">
        <w:trPr>
          <w:trHeight w:val="967"/>
        </w:trPr>
        <w:tc>
          <w:tcPr>
            <w:tcW w:w="1127" w:type="pct"/>
            <w:vMerge/>
            <w:shd w:val="clear" w:color="auto" w:fill="CCFFFF"/>
          </w:tcPr>
          <w:p w:rsidR="0000522B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8" w:space="0" w:color="auto"/>
            </w:tcBorders>
            <w:shd w:val="clear" w:color="auto" w:fill="CCFFFF"/>
          </w:tcPr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section 29 cases taken against the school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processed at informal stage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cases heard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>Number of appeals upheld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8D709C">
              <w:rPr>
                <w:rFonts w:ascii="Arial" w:hAnsi="Arial" w:cs="Arial"/>
                <w:sz w:val="18"/>
                <w:szCs w:val="18"/>
              </w:rPr>
              <w:t xml:space="preserve">Number of appeals dismissed </w:t>
            </w:r>
          </w:p>
          <w:p w:rsidR="0000522B" w:rsidRPr="008D709C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auto"/>
            </w:tcBorders>
            <w:shd w:val="clear" w:color="auto" w:fill="CCFFFF"/>
          </w:tcPr>
          <w:p w:rsidR="0000522B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522B" w:rsidRPr="00C04536" w:rsidRDefault="00F16DE3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0522B" w:rsidRPr="008D709C" w:rsidRDefault="0000522B" w:rsidP="00714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vMerge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vMerge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</w:tbl>
    <w:p w:rsidR="0000522B" w:rsidRDefault="0000522B" w:rsidP="0000522B"/>
    <w:p w:rsidR="0000522B" w:rsidRDefault="0000522B" w:rsidP="0000522B">
      <w:pPr>
        <w:jc w:val="center"/>
      </w:pPr>
      <w:r>
        <w:br w:type="page"/>
      </w:r>
      <w:r w:rsidRPr="00E43064">
        <w:rPr>
          <w:rFonts w:ascii="Arial" w:hAnsi="Arial" w:cs="Arial"/>
          <w:b/>
          <w:bCs/>
        </w:rPr>
        <w:lastRenderedPageBreak/>
        <w:t>Appendix to School Self-Evaluation report</w:t>
      </w:r>
      <w:r>
        <w:rPr>
          <w:rFonts w:ascii="Arial" w:hAnsi="Arial" w:cs="Arial"/>
          <w:b/>
          <w:bCs/>
        </w:rPr>
        <w:t>: policy checklist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5"/>
        <w:gridCol w:w="1934"/>
        <w:gridCol w:w="1532"/>
      </w:tblGrid>
      <w:tr w:rsidR="0000522B" w:rsidRPr="00C04536" w:rsidTr="007148B6">
        <w:tc>
          <w:tcPr>
            <w:tcW w:w="3019" w:type="dxa"/>
            <w:tcBorders>
              <w:bottom w:val="single" w:sz="4" w:space="0" w:color="auto"/>
            </w:tcBorders>
            <w:shd w:val="clear" w:color="auto" w:fill="FFCC99"/>
          </w:tcPr>
          <w:p w:rsidR="0000522B" w:rsidRPr="00C04536" w:rsidRDefault="0000522B" w:rsidP="007148B6">
            <w:pPr>
              <w:rPr>
                <w:b/>
              </w:rPr>
            </w:pPr>
            <w:r w:rsidRPr="00C04536">
              <w:rPr>
                <w:b/>
              </w:rPr>
              <w:t>Policy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FCC99"/>
          </w:tcPr>
          <w:p w:rsidR="0000522B" w:rsidRPr="00C04536" w:rsidRDefault="0000522B" w:rsidP="007148B6">
            <w:pPr>
              <w:rPr>
                <w:b/>
              </w:rPr>
            </w:pPr>
            <w:r w:rsidRPr="00C04536">
              <w:rPr>
                <w:b/>
              </w:rPr>
              <w:t>Source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CC99"/>
          </w:tcPr>
          <w:p w:rsidR="0000522B" w:rsidRPr="00C04536" w:rsidRDefault="0000522B" w:rsidP="007148B6">
            <w:pPr>
              <w:rPr>
                <w:b/>
              </w:rPr>
            </w:pPr>
            <w:r w:rsidRPr="00C04536">
              <w:rPr>
                <w:b/>
              </w:rPr>
              <w:t>Has the policy been approved by the Board of Management ?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FCC99"/>
          </w:tcPr>
          <w:p w:rsidR="0000522B" w:rsidRPr="00C04536" w:rsidRDefault="0000522B" w:rsidP="007148B6">
            <w:pPr>
              <w:rPr>
                <w:b/>
              </w:rPr>
            </w:pPr>
            <w:r w:rsidRPr="00C04536">
              <w:rPr>
                <w:b/>
              </w:rPr>
              <w:t>If no, indicate aspects to be developed</w:t>
            </w: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Enrolment policy </w:t>
            </w:r>
          </w:p>
        </w:tc>
        <w:tc>
          <w:tcPr>
            <w:tcW w:w="2695" w:type="dxa"/>
            <w:shd w:val="clear" w:color="auto" w:fill="CCFFFF"/>
          </w:tcPr>
          <w:p w:rsidR="0000522B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 xml:space="preserve">Section 15(2)(d) of Education Act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Status Acts 2000-2011</w:t>
            </w: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867C09" w:rsidRDefault="0000522B" w:rsidP="007148B6"/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Code of behaviour, including anti-bullying policy</w:t>
            </w:r>
            <w:r w:rsidRPr="00C0453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Circular M33/91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NEWB guidelines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Section 23, Education Welfare Act 2000</w:t>
            </w:r>
          </w:p>
          <w:p w:rsidR="0000522B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Guidelines on Countering Bullying Behaviour, 1993, Circular M33/91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Equal Status Acts 2000-2011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  <w:r w:rsidRPr="00C04536">
              <w:rPr>
                <w:sz w:val="20"/>
                <w:szCs w:val="20"/>
              </w:rPr>
              <w:t xml:space="preserve"> </w:t>
            </w: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Attendance and participation strategy</w:t>
            </w:r>
            <w:r w:rsidRPr="00C0453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Circular M51/93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Section 22, Education Welfare Act 2000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Health and Safety Statement  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 xml:space="preserve">Health and Safety Act 2005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Section 20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Data protection 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Data Protection Act 1988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Data Protection (Amendment Act) 2003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>
              <w:rPr>
                <w:rFonts w:ascii="Arial" w:hAnsi="Arial" w:cs="Arial"/>
                <w:sz w:val="20"/>
                <w:szCs w:val="20"/>
              </w:rPr>
              <w:t>education n</w:t>
            </w:r>
            <w:r w:rsidRPr="00C04536">
              <w:rPr>
                <w:rFonts w:ascii="Arial" w:hAnsi="Arial" w:cs="Arial"/>
                <w:sz w:val="20"/>
                <w:szCs w:val="20"/>
              </w:rPr>
              <w:t>eeds policy</w:t>
            </w:r>
            <w:r w:rsidRPr="00C0453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Education Act (1998)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Equal Status Acts (2000 to 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04536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 xml:space="preserve">Education (Welfare) Act </w:t>
            </w:r>
            <w:r w:rsidRPr="00C04536">
              <w:rPr>
                <w:rFonts w:ascii="Arial" w:hAnsi="Arial" w:cs="Arial"/>
                <w:sz w:val="18"/>
                <w:szCs w:val="18"/>
              </w:rPr>
              <w:lastRenderedPageBreak/>
              <w:t>(2000),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Education for Persons with Special Education Needs Act (EPSEN)</w:t>
            </w:r>
            <w:r w:rsidRPr="00C0453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  <w:r w:rsidRPr="00C04536">
              <w:rPr>
                <w:rFonts w:ascii="Arial" w:hAnsi="Arial" w:cs="Arial"/>
                <w:sz w:val="18"/>
                <w:szCs w:val="18"/>
              </w:rPr>
              <w:t xml:space="preserve"> (2004)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Disability Act (2005))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Social, personal and health education(SPHE)/Relationships and sexuality education (RSE) policy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 xml:space="preserve">Circulars </w:t>
            </w:r>
            <w:r>
              <w:rPr>
                <w:rFonts w:ascii="Arial" w:hAnsi="Arial" w:cs="Arial"/>
                <w:sz w:val="18"/>
                <w:szCs w:val="18"/>
              </w:rPr>
              <w:t>37/2010, 23</w:t>
            </w:r>
            <w:r w:rsidRPr="00C04536">
              <w:rPr>
                <w:rFonts w:ascii="Arial" w:hAnsi="Arial" w:cs="Arial"/>
                <w:sz w:val="18"/>
                <w:szCs w:val="18"/>
              </w:rPr>
              <w:t>/2010, M27/08, M11/03, M22/00, M20/96, M4/95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Substance use policy 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Department of Education and Skills Directive; guidelines issued to schools in 2002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 xml:space="preserve">Internet acceptable use policy 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Department of Education and Skills Directive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 xml:space="preserve">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536">
              <w:rPr>
                <w:sz w:val="20"/>
                <w:szCs w:val="20"/>
              </w:rPr>
              <w:t>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  <w:tr w:rsidR="0000522B" w:rsidRPr="00C04536" w:rsidTr="007148B6">
        <w:tc>
          <w:tcPr>
            <w:tcW w:w="3019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t>Child Protection Policy</w:t>
            </w:r>
          </w:p>
        </w:tc>
        <w:tc>
          <w:tcPr>
            <w:tcW w:w="2695" w:type="dxa"/>
            <w:shd w:val="clear" w:color="auto" w:fill="CCFFFF"/>
          </w:tcPr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  <w:r w:rsidRPr="00C04536">
              <w:rPr>
                <w:rFonts w:ascii="Arial" w:hAnsi="Arial" w:cs="Arial"/>
                <w:sz w:val="18"/>
                <w:szCs w:val="18"/>
              </w:rPr>
              <w:t>Circular 0065/2011</w:t>
            </w:r>
          </w:p>
          <w:p w:rsidR="0000522B" w:rsidRPr="00C04536" w:rsidRDefault="0000522B" w:rsidP="00714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CCFFFF"/>
          </w:tcPr>
          <w:p w:rsidR="0000522B" w:rsidRPr="00C04536" w:rsidRDefault="0000522B" w:rsidP="0071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4567">
              <w:rPr>
                <w:rFonts w:ascii="Arial" w:hAnsi="Arial" w:cs="Arial"/>
                <w:sz w:val="20"/>
                <w:szCs w:val="20"/>
              </w:rPr>
            </w:r>
            <w:r w:rsidR="004E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45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2" w:type="dxa"/>
            <w:shd w:val="clear" w:color="auto" w:fill="CCFFFF"/>
          </w:tcPr>
          <w:p w:rsidR="0000522B" w:rsidRPr="00C04536" w:rsidRDefault="0000522B" w:rsidP="007148B6">
            <w:pPr>
              <w:rPr>
                <w:sz w:val="20"/>
                <w:szCs w:val="20"/>
              </w:rPr>
            </w:pPr>
          </w:p>
        </w:tc>
      </w:tr>
    </w:tbl>
    <w:p w:rsidR="0000522B" w:rsidRDefault="0000522B" w:rsidP="0000522B"/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0522B" w:rsidRDefault="0000522B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A84BBA" w:rsidRDefault="00A84BBA" w:rsidP="00A84BBA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  <w: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lastRenderedPageBreak/>
        <w:t>Appendices: Survey Responses</w:t>
      </w:r>
    </w:p>
    <w:p w:rsidR="00F26327" w:rsidRDefault="00C57560" w:rsidP="00F37C32">
      <w:pPr>
        <w:jc w:val="center"/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  <w: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t xml:space="preserve">Appendix 1: </w:t>
      </w:r>
      <w:r w:rsidR="00F26327"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t xml:space="preserve">Student Maths Literacy and Numeracy Questionnaire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u w:val="single"/>
          <w:lang w:eastAsia="en-IE"/>
        </w:rPr>
      </w:pPr>
      <w:r w:rsidRPr="00F26327">
        <w:rPr>
          <w:rFonts w:eastAsia="Times New Roman" w:cs="Times New Roman"/>
          <w:sz w:val="20"/>
          <w:szCs w:val="24"/>
          <w:u w:val="single"/>
          <w:lang w:eastAsia="en-IE"/>
        </w:rPr>
        <w:t>Student Numeracy Responses – each answer allows for ticking of more than one box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1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>Please tick the statements you agree with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492"/>
      </w:tblGrid>
      <w:tr w:rsidR="00F26327" w:rsidRPr="00F26327" w:rsidTr="00B924E7">
        <w:trPr>
          <w:tblHeader/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only need maths for maths class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11.76%</w:t>
            </w:r>
          </w:p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will do honours maths for my Junior Cert.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54.90%</w:t>
            </w:r>
          </w:p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like maths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70.59%</w:t>
            </w:r>
          </w:p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36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think that all my teachers like maths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3.92%</w:t>
            </w:r>
          </w:p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will not need maths after I leave school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5.88%</w:t>
            </w:r>
          </w:p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5625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 Respondents: 51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396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>Question 2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  <w:t xml:space="preserve"> </w:t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>Please tick the statements you agree with for "Maths in school".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9"/>
        <w:gridCol w:w="1510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There is usually more than one way to work out a problem in maths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56.86%</w:t>
            </w:r>
          </w:p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I usually check my answers to make sure I didn't make a mistake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82.35%</w:t>
            </w:r>
          </w:p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42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am good at figuring out questions I have never seen before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13.73%</w:t>
            </w:r>
          </w:p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7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like doing calculations (eg adding/subtracting) in my head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37.25%</w:t>
            </w:r>
          </w:p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am good at explaining maths in my own words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25.49%</w:t>
            </w:r>
          </w:p>
          <w:p w:rsidR="00F26327" w:rsidRPr="00F26327" w:rsidRDefault="00F26327" w:rsidP="00B924E7">
            <w:pPr>
              <w:spacing w:after="0" w:line="240" w:lineRule="auto"/>
              <w:ind w:left="414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 Respondents: 51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3  </w:t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I understand maths best when…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3"/>
        <w:gridCol w:w="1096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work it out on my own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45.10%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work with someone else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31.37%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I work with a small group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19.61%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I listen to the teacher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86.27%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44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My teacher explains where I went wrong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78.43%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40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I can use my hands, draw it out, use real life examples etc.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21.57%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I do maths puzzles e.g Sudoku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15.69%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 I play on-line games e.g. Manga High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15.69%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color w:val="0000FF"/>
                <w:sz w:val="20"/>
                <w:szCs w:val="24"/>
                <w:u w:val="single"/>
                <w:lang w:eastAsia="en-IE"/>
              </w:rPr>
              <w:t xml:space="preserve">Responses 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Other (please specify)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9.80%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5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 Respondents: 51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04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I get the chance to learn maths in school: 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1096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By working it out on my own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50.98%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By working in pairs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47.06%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24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By working with a small group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37.25%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By listening to the teacher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92.16%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47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By reading my teachers comments in my copy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54.90%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Using my hands, drawing it out, using real life examples etc.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21.57%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Doing Maths Puzzles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23.53%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Playing on-line games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15.69%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 Respondents: 51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5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All my teachers encourage me to explain and justify my answers.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3"/>
        <w:gridCol w:w="81"/>
      </w:tblGrid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20"/>
                <w:szCs w:val="24"/>
                <w:lang w:eastAsia="en-IE"/>
              </w:rPr>
            </w:pPr>
          </w:p>
          <w:tbl>
            <w:tblPr>
              <w:tblW w:w="66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4683"/>
            </w:tblGrid>
            <w:tr w:rsidR="00F26327" w:rsidRPr="00F26327" w:rsidTr="00B924E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b/>
                      <w:bCs/>
                      <w:sz w:val="20"/>
                      <w:szCs w:val="24"/>
                      <w:lang w:eastAsia="en-IE"/>
                    </w:rPr>
                    <w:t>Answer Choices –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ind w:left="414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b/>
                      <w:bCs/>
                      <w:sz w:val="20"/>
                      <w:szCs w:val="24"/>
                      <w:lang w:eastAsia="en-IE"/>
                    </w:rPr>
                    <w:t>Responses –</w:t>
                  </w:r>
                </w:p>
              </w:tc>
            </w:tr>
            <w:tr w:rsidR="00F26327" w:rsidRPr="00F26327" w:rsidTr="00B92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–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Strongly Agree 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37.25%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19 </w:t>
                  </w:r>
                </w:p>
              </w:tc>
            </w:tr>
            <w:tr w:rsidR="00F26327" w:rsidRPr="00F26327" w:rsidTr="00B92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–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Agree 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58.82%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30 </w:t>
                  </w:r>
                </w:p>
              </w:tc>
            </w:tr>
            <w:tr w:rsidR="00F26327" w:rsidRPr="00F26327" w:rsidTr="00B92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–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Disagree 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3.92%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2 </w:t>
                  </w:r>
                </w:p>
              </w:tc>
            </w:tr>
            <w:tr w:rsidR="00F26327" w:rsidRPr="00F26327" w:rsidTr="00B92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–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Strongly Disagree 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0.00%</w:t>
                  </w:r>
                </w:p>
                <w:p w:rsidR="00F26327" w:rsidRPr="00F26327" w:rsidRDefault="00F26327" w:rsidP="00B924E7">
                  <w:pPr>
                    <w:spacing w:after="0" w:line="240" w:lineRule="auto"/>
                    <w:ind w:left="1959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 xml:space="preserve">0 </w:t>
                  </w:r>
                </w:p>
              </w:tc>
            </w:tr>
            <w:tr w:rsidR="00F26327" w:rsidRPr="00F26327" w:rsidTr="00B924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Total Respondents:</w:t>
                  </w:r>
                </w:p>
              </w:tc>
              <w:tc>
                <w:tcPr>
                  <w:tcW w:w="4638" w:type="dxa"/>
                  <w:vAlign w:val="center"/>
                  <w:hideMark/>
                </w:tcPr>
                <w:p w:rsidR="00F26327" w:rsidRPr="00F26327" w:rsidRDefault="00F26327" w:rsidP="00B924E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</w:pPr>
                  <w:r w:rsidRPr="00F26327">
                    <w:rPr>
                      <w:rFonts w:eastAsia="Times New Roman" w:cs="Times New Roman"/>
                      <w:sz w:val="20"/>
                      <w:szCs w:val="24"/>
                      <w:lang w:eastAsia="en-IE"/>
                    </w:rPr>
                    <w:t>51</w:t>
                  </w:r>
                </w:p>
              </w:tc>
            </w:tr>
          </w:tbl>
          <w:p w:rsidR="00F26327" w:rsidRPr="00F26327" w:rsidRDefault="00F26327" w:rsidP="00B924E7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6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>All my teachers use the same approach for similar calculations.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669"/>
        <w:gridCol w:w="2391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Agree 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3.92%</w:t>
            </w:r>
          </w:p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Agree 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72.55%</w:t>
            </w:r>
          </w:p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37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Disagree 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21.57%</w:t>
            </w:r>
          </w:p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Disagree </w:t>
            </w:r>
          </w:p>
        </w:tc>
        <w:tc>
          <w:tcPr>
            <w:tcW w:w="3015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1.96%</w:t>
            </w:r>
          </w:p>
          <w:p w:rsidR="00F26327" w:rsidRPr="00F26327" w:rsidRDefault="00F26327" w:rsidP="00B924E7">
            <w:pPr>
              <w:spacing w:after="0" w:line="240" w:lineRule="auto"/>
              <w:ind w:left="132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 </w:t>
            </w:r>
          </w:p>
        </w:tc>
      </w:tr>
      <w:tr w:rsidR="00F26327" w:rsidRPr="00F26327" w:rsidTr="00B924E7">
        <w:trPr>
          <w:gridAfter w:val="1"/>
          <w:wAfter w:w="1706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51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7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I get the opportunity to work with other students when attempting problems in all of my subjects.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768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Agree 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19.61%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Agree 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58.82%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30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Disagree 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19.61%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Disagree 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1.96%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</w:t>
            </w:r>
          </w:p>
        </w:tc>
        <w:tc>
          <w:tcPr>
            <w:tcW w:w="3723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51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Question 8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I am encouraged to try different approaches when solving problems in all of my subjects. 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34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Agree 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16.00%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Agree 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80.00%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40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Disagree 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4.00%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Disagree 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0.00%</w:t>
            </w:r>
          </w:p>
          <w:p w:rsidR="00F26327" w:rsidRPr="00F26327" w:rsidRDefault="00F26327" w:rsidP="00B924E7">
            <w:pPr>
              <w:spacing w:after="0" w:line="240" w:lineRule="auto"/>
              <w:ind w:left="1187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</w:t>
            </w:r>
          </w:p>
        </w:tc>
        <w:tc>
          <w:tcPr>
            <w:tcW w:w="329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50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>Question 9</w:t>
      </w:r>
      <w:r w:rsidRPr="00F26327">
        <w:rPr>
          <w:rFonts w:eastAsia="Times New Roman" w:cs="Times New Roman"/>
          <w:color w:val="0000FF"/>
          <w:sz w:val="20"/>
          <w:szCs w:val="24"/>
          <w:u w:val="single"/>
          <w:lang w:eastAsia="en-IE"/>
        </w:rPr>
        <w:t xml:space="preserve"> </w:t>
      </w:r>
      <w:r w:rsidRPr="00F26327">
        <w:rPr>
          <w:rFonts w:eastAsia="Times New Roman" w:cs="Times New Roman"/>
          <w:sz w:val="20"/>
          <w:szCs w:val="24"/>
          <w:lang w:eastAsia="en-IE"/>
        </w:rPr>
        <w:t xml:space="preserve">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I am encouraged by all my teachers to reflect on where I went wrong and learn from my mistake 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754"/>
        <w:gridCol w:w="30"/>
        <w:gridCol w:w="1321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2306" w:type="dxa"/>
            <w:gridSpan w:val="3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gridAfter w:val="1"/>
          <w:wAfter w:w="522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 xml:space="preserve">Strongly Agree 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>50.98%</w:t>
            </w:r>
          </w:p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 xml:space="preserve">26 </w:t>
            </w:r>
          </w:p>
        </w:tc>
      </w:tr>
      <w:tr w:rsidR="00F26327" w:rsidRPr="00F26327" w:rsidTr="00B924E7">
        <w:trPr>
          <w:gridAfter w:val="1"/>
          <w:wAfter w:w="522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lastRenderedPageBreak/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Agree 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49.02%</w:t>
            </w:r>
          </w:p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25 </w:t>
            </w:r>
          </w:p>
        </w:tc>
      </w:tr>
      <w:tr w:rsidR="00F26327" w:rsidRPr="00F26327" w:rsidTr="00B924E7">
        <w:trPr>
          <w:gridAfter w:val="1"/>
          <w:wAfter w:w="522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Disagree 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0.00%</w:t>
            </w:r>
          </w:p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0 </w:t>
            </w:r>
          </w:p>
        </w:tc>
      </w:tr>
      <w:tr w:rsidR="00F26327" w:rsidRPr="00F26327" w:rsidTr="00B924E7">
        <w:trPr>
          <w:gridAfter w:val="1"/>
          <w:wAfter w:w="522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Disagree </w:t>
            </w:r>
          </w:p>
        </w:tc>
        <w:tc>
          <w:tcPr>
            <w:tcW w:w="1754" w:type="dxa"/>
            <w:gridSpan w:val="2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0.00%</w:t>
            </w:r>
          </w:p>
          <w:p w:rsidR="00F26327" w:rsidRPr="00F26327" w:rsidRDefault="00F26327" w:rsidP="00B924E7">
            <w:pPr>
              <w:spacing w:after="0" w:line="240" w:lineRule="auto"/>
              <w:ind w:left="889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0 </w:t>
            </w:r>
          </w:p>
        </w:tc>
      </w:tr>
      <w:tr w:rsidR="00F26327" w:rsidRPr="00F26327" w:rsidTr="00B924E7">
        <w:trPr>
          <w:gridAfter w:val="2"/>
          <w:wAfter w:w="552" w:type="dxa"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51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eastAsia="Times New Roman" w:cs="Times New Roman"/>
          <w:sz w:val="20"/>
          <w:szCs w:val="24"/>
          <w:lang w:eastAsia="en-IE"/>
        </w:rPr>
      </w:pPr>
      <w:r w:rsidRPr="00F26327">
        <w:rPr>
          <w:rFonts w:eastAsia="Times New Roman" w:cs="Times New Roman"/>
          <w:sz w:val="20"/>
          <w:szCs w:val="24"/>
          <w:lang w:eastAsia="en-IE"/>
        </w:rPr>
        <w:t xml:space="preserve">Q10 </w:t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sz w:val="20"/>
          <w:szCs w:val="24"/>
          <w:lang w:eastAsia="en-IE"/>
        </w:rPr>
        <w:tab/>
      </w:r>
      <w:r w:rsidRPr="00F26327">
        <w:rPr>
          <w:rFonts w:eastAsia="Times New Roman" w:cs="Times New Roman"/>
          <w:b/>
          <w:bCs/>
          <w:kern w:val="36"/>
          <w:sz w:val="20"/>
          <w:szCs w:val="24"/>
          <w:lang w:eastAsia="en-IE"/>
        </w:rPr>
        <w:t xml:space="preserve">My teachers encourage me to look for links between the numeracy in my subjects and examples in everyday life. </w:t>
      </w:r>
    </w:p>
    <w:p w:rsidR="00F26327" w:rsidRPr="00F26327" w:rsidRDefault="00F26327" w:rsidP="00F26327">
      <w:pPr>
        <w:spacing w:after="0" w:line="240" w:lineRule="auto"/>
        <w:rPr>
          <w:rFonts w:eastAsia="Times New Roman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49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Agree 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12.00%</w:t>
            </w:r>
          </w:p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Agree 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60.00%</w:t>
            </w:r>
          </w:p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30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Disagree 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26.00%</w:t>
            </w:r>
          </w:p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Strongly disagree 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2.00%</w:t>
            </w:r>
          </w:p>
          <w:p w:rsidR="00F26327" w:rsidRPr="00F26327" w:rsidRDefault="00F26327" w:rsidP="00B924E7">
            <w:pPr>
              <w:spacing w:after="0" w:line="240" w:lineRule="auto"/>
              <w:ind w:left="903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 xml:space="preserve">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Total</w:t>
            </w:r>
          </w:p>
        </w:tc>
        <w:tc>
          <w:tcPr>
            <w:tcW w:w="2448" w:type="dxa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eastAsia="Times New Roman" w:cs="Times New Roman"/>
                <w:sz w:val="20"/>
                <w:szCs w:val="24"/>
                <w:lang w:eastAsia="en-IE"/>
              </w:rPr>
              <w:t>50</w:t>
            </w:r>
          </w:p>
        </w:tc>
      </w:tr>
    </w:tbl>
    <w:p w:rsidR="00F26327" w:rsidRPr="00A83F4A" w:rsidRDefault="00F26327" w:rsidP="00F26327">
      <w:pPr>
        <w:rPr>
          <w:sz w:val="28"/>
          <w:szCs w:val="24"/>
        </w:rPr>
      </w:pPr>
    </w:p>
    <w:p w:rsidR="00F26327" w:rsidRDefault="00F26327" w:rsidP="00F37C32">
      <w:pPr>
        <w:jc w:val="center"/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F26327" w:rsidRDefault="00F26327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  <w: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br w:type="page"/>
      </w:r>
    </w:p>
    <w:p w:rsidR="00F26327" w:rsidRDefault="00F26327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  <w: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lastRenderedPageBreak/>
        <w:t xml:space="preserve">Appendix 2: Staff Maths Literacy and Numeracy Questionnaire </w:t>
      </w: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>Staff Numeracy Responses – option given to tick more than one box</w:t>
      </w: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>Question 1</w:t>
      </w:r>
      <w:r w:rsidRPr="00F26327"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en-IE"/>
        </w:rPr>
        <w:t xml:space="preserve"> </w:t>
      </w: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en-IE"/>
        </w:rPr>
        <w:t>Please tick the statements you agree with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110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Maths skills help students do well in all subjects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80.00%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20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There is usually only one way to get the right answer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8.00%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am comfortable dealing with numeracy if it arises in my subject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76.00%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Problem solving is part of every subject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92.00%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23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There is a consistent approach to maths calculations and language across the school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24.00%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can help improve students numeracy skills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68.00%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17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Total Respondents: 25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 xml:space="preserve">Question 2 </w:t>
      </w: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en-IE"/>
        </w:rPr>
        <w:t>Whole School Numeracy</w:t>
      </w:r>
      <w:r w:rsidRPr="00F2632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en-I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  <w:gridCol w:w="110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Numeracy occurs in my subject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92.00%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23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often use problem solving as a methodology in my subject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52.00%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When using a calculator, I usually ask students to do an estimate first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12.00%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sometimes use graphs/charts as a teaching aid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64.00%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often check that students understand words that have different meanings in maths and my subject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56.00%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14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regularly ask students to justify and explain their rationale when answering a question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68.00%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17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I promote a positive attitude to maths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44.00%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11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Total Respondents: 25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>Question 3</w:t>
      </w:r>
      <w:r w:rsidRPr="00F26327">
        <w:rPr>
          <w:rFonts w:ascii="Times New Roman" w:eastAsia="Times New Roman" w:hAnsi="Times New Roman" w:cs="Times New Roman"/>
          <w:color w:val="0000FF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color w:val="0000FF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en-IE"/>
        </w:rPr>
        <w:t xml:space="preserve">Students feel they understand maths best when they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110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Work on their own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37.50%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Work in pairs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79.17%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Participate in class discussions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50.00%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12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Listen to the teacher in class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83.33%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20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lastRenderedPageBreak/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Receive oral/written feedback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58.33%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14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Use their hands, make a model link a problem to real life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54.17%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Play maths games, do puzzles e.g Sudoku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54.17%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Play on-line games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33.33%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8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Total Respondents: 24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 xml:space="preserve"> </w:t>
      </w:r>
    </w:p>
    <w:p w:rsidR="00F26327" w:rsidRPr="00F26327" w:rsidRDefault="00F26327" w:rsidP="00F26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 xml:space="preserve">Question 4 </w:t>
      </w: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sz w:val="20"/>
          <w:szCs w:val="24"/>
          <w:lang w:eastAsia="en-IE"/>
        </w:rPr>
        <w:tab/>
      </w:r>
      <w:r w:rsidRPr="00F26327">
        <w:rPr>
          <w:rFonts w:ascii="Times New Roman" w:eastAsia="Times New Roman" w:hAnsi="Times New Roman" w:cs="Times New Roman"/>
          <w:b/>
          <w:sz w:val="20"/>
          <w:szCs w:val="24"/>
          <w:lang w:eastAsia="en-IE"/>
        </w:rPr>
        <w:t>I</w:t>
      </w:r>
      <w:r w:rsidRPr="00F26327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en-IE"/>
        </w:rPr>
        <w:t xml:space="preserve">n my classroom students </w:t>
      </w:r>
    </w:p>
    <w:p w:rsidR="00F26327" w:rsidRPr="00F26327" w:rsidRDefault="00F26327" w:rsidP="00F2632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I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1103"/>
      </w:tblGrid>
      <w:tr w:rsidR="00F26327" w:rsidRPr="00F26327" w:rsidTr="00B924E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IE"/>
              </w:rPr>
              <w:t>Responses –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Work mostly on their own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56.00%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14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Work mostly in pairs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60.00%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15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Participate in whole class discussions at least once per week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76.00%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Receive regular written / oral feedback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76.00%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19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Use concrete materials/ link problems to real life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64.00%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16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Play maths games/puzzles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24.00%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6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–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Play on-line games 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12.00%</w:t>
            </w:r>
          </w:p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 xml:space="preserve">3 </w:t>
            </w:r>
          </w:p>
        </w:tc>
      </w:tr>
      <w:tr w:rsidR="00F26327" w:rsidRPr="00F26327" w:rsidTr="00B92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Total Respondents: 25</w:t>
            </w:r>
          </w:p>
        </w:tc>
        <w:tc>
          <w:tcPr>
            <w:tcW w:w="0" w:type="auto"/>
            <w:vAlign w:val="center"/>
            <w:hideMark/>
          </w:tcPr>
          <w:p w:rsidR="00F26327" w:rsidRPr="00F26327" w:rsidRDefault="00F26327" w:rsidP="00B9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  <w:r w:rsidRPr="00F26327"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  <w:t> </w:t>
            </w:r>
          </w:p>
        </w:tc>
      </w:tr>
    </w:tbl>
    <w:p w:rsidR="00F26327" w:rsidRDefault="00F26327" w:rsidP="00F26327"/>
    <w:p w:rsidR="00F26327" w:rsidRDefault="00F26327">
      <w:pP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</w:pPr>
    </w:p>
    <w:p w:rsidR="0006457D" w:rsidRPr="000D3DB7" w:rsidRDefault="00F37C32" w:rsidP="00F37C32">
      <w:pPr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i/>
          <w:color w:val="333333"/>
          <w:sz w:val="20"/>
          <w:szCs w:val="20"/>
          <w:lang w:eastAsia="en-IE"/>
        </w:rPr>
        <w:t>Number analogies and Number Series Questions form the CAT 4, Cognitive Abilities Test</w:t>
      </w:r>
    </w:p>
    <w:p w:rsidR="004E55BC" w:rsidRPr="000D3DB7" w:rsidRDefault="004E55BC" w:rsidP="009A1D17">
      <w:pPr>
        <w:jc w:val="both"/>
        <w:rPr>
          <w:i/>
          <w:sz w:val="20"/>
          <w:szCs w:val="20"/>
        </w:rPr>
      </w:pPr>
    </w:p>
    <w:sectPr w:rsidR="004E55BC" w:rsidRPr="000D3DB7" w:rsidSect="009A1D1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0A" w:rsidRDefault="00E9320A" w:rsidP="0000522B">
      <w:pPr>
        <w:spacing w:after="0" w:line="240" w:lineRule="auto"/>
      </w:pPr>
      <w:r>
        <w:separator/>
      </w:r>
    </w:p>
  </w:endnote>
  <w:endnote w:type="continuationSeparator" w:id="0">
    <w:p w:rsidR="00E9320A" w:rsidRDefault="00E9320A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0A" w:rsidRDefault="00E9320A" w:rsidP="0000522B">
      <w:pPr>
        <w:spacing w:after="0" w:line="240" w:lineRule="auto"/>
      </w:pPr>
      <w:r>
        <w:separator/>
      </w:r>
    </w:p>
  </w:footnote>
  <w:footnote w:type="continuationSeparator" w:id="0">
    <w:p w:rsidR="00E9320A" w:rsidRDefault="00E9320A" w:rsidP="0000522B">
      <w:pPr>
        <w:spacing w:after="0" w:line="240" w:lineRule="auto"/>
      </w:pPr>
      <w:r>
        <w:continuationSeparator/>
      </w:r>
    </w:p>
  </w:footnote>
  <w:footnote w:id="1"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B0277E">
        <w:rPr>
          <w:sz w:val="18"/>
          <w:szCs w:val="18"/>
          <w:lang w:val="en-IE"/>
        </w:rPr>
        <w:t>Under the provisions of the Education (Welfare) Act (2000) (section 23) the school’s code of behaviour should conform to the specifications stated.</w:t>
      </w:r>
    </w:p>
  </w:footnote>
  <w:footnote w:id="2"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</w:t>
      </w:r>
      <w:r w:rsidRPr="00B0277E">
        <w:rPr>
          <w:sz w:val="18"/>
          <w:szCs w:val="18"/>
          <w:lang w:val="en-IE"/>
        </w:rPr>
        <w:t>Under the provisions of the Education (Welfare) Act (2000) (section 22)</w:t>
      </w:r>
      <w:r>
        <w:rPr>
          <w:sz w:val="18"/>
          <w:szCs w:val="18"/>
          <w:lang w:val="en-IE"/>
        </w:rPr>
        <w:t xml:space="preserve"> </w:t>
      </w:r>
      <w:r w:rsidRPr="00B0277E">
        <w:rPr>
          <w:sz w:val="18"/>
          <w:szCs w:val="18"/>
          <w:lang w:val="en-IE"/>
        </w:rPr>
        <w:t>the school’s attendance strategy should conform with the provisions stipulated.</w:t>
      </w:r>
    </w:p>
  </w:footnote>
  <w:footnote w:id="3"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</w:t>
      </w:r>
      <w:r w:rsidRPr="00B0277E">
        <w:rPr>
          <w:sz w:val="18"/>
          <w:szCs w:val="18"/>
          <w:lang w:val="en-IE"/>
        </w:rPr>
        <w:t>Section 9 of the Education Act (1998) requires a school to “use its available resources” to identify and provide for the educational needs of those “with a disability or other special educational needs.”</w:t>
      </w:r>
    </w:p>
  </w:footnote>
  <w:footnote w:id="4">
    <w:p w:rsidR="00E9320A" w:rsidRDefault="00E9320A" w:rsidP="0000522B">
      <w:pPr>
        <w:pStyle w:val="FootnoteText"/>
        <w:rPr>
          <w:sz w:val="18"/>
          <w:szCs w:val="18"/>
          <w:lang w:val="en-IE"/>
        </w:rPr>
      </w:pPr>
      <w:r w:rsidRPr="0000522B">
        <w:rPr>
          <w:sz w:val="16"/>
          <w:szCs w:val="18"/>
          <w:vertAlign w:val="superscript"/>
          <w:lang w:val="en-IE"/>
        </w:rPr>
        <w:t>1</w:t>
      </w:r>
      <w:r w:rsidRPr="00B0277E">
        <w:rPr>
          <w:sz w:val="18"/>
          <w:szCs w:val="18"/>
          <w:lang w:val="en-IE"/>
        </w:rPr>
        <w:t>Under the provisions of the Education (Welfare) Act (2000) (section 23) the school’s code of behaviour should conform to the specificatio</w:t>
      </w:r>
      <w:r>
        <w:rPr>
          <w:sz w:val="18"/>
          <w:szCs w:val="18"/>
          <w:lang w:val="en-IE"/>
        </w:rPr>
        <w:t>ns stated.</w:t>
      </w:r>
    </w:p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 w:rsidRPr="0000522B">
        <w:rPr>
          <w:sz w:val="18"/>
          <w:szCs w:val="18"/>
          <w:vertAlign w:val="superscript"/>
          <w:lang w:val="en-IE"/>
        </w:rPr>
        <w:t>2</w:t>
      </w:r>
      <w:r w:rsidRPr="00B0277E">
        <w:rPr>
          <w:sz w:val="18"/>
          <w:szCs w:val="18"/>
          <w:lang w:val="en-IE"/>
        </w:rPr>
        <w:t>Under the provisions of the Education (Welfare) Act (2000) (section 22)</w:t>
      </w:r>
      <w:r>
        <w:rPr>
          <w:sz w:val="18"/>
          <w:szCs w:val="18"/>
          <w:lang w:val="en-IE"/>
        </w:rPr>
        <w:t xml:space="preserve"> </w:t>
      </w:r>
      <w:r w:rsidRPr="00B0277E">
        <w:rPr>
          <w:sz w:val="18"/>
          <w:szCs w:val="18"/>
          <w:lang w:val="en-IE"/>
        </w:rPr>
        <w:t>the school’s att</w:t>
      </w:r>
      <w:r>
        <w:rPr>
          <w:sz w:val="18"/>
          <w:szCs w:val="18"/>
          <w:lang w:val="en-IE"/>
        </w:rPr>
        <w:t xml:space="preserve">endance strategy should conform </w:t>
      </w:r>
      <w:r w:rsidRPr="00B0277E">
        <w:rPr>
          <w:sz w:val="18"/>
          <w:szCs w:val="18"/>
          <w:lang w:val="en-IE"/>
        </w:rPr>
        <w:t>with the provisions stipulated.</w:t>
      </w:r>
    </w:p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>
        <w:rPr>
          <w:rStyle w:val="FootnoteReference"/>
          <w:sz w:val="18"/>
          <w:szCs w:val="18"/>
        </w:rPr>
        <w:t>3</w:t>
      </w:r>
      <w:r w:rsidRPr="00B0277E">
        <w:rPr>
          <w:sz w:val="18"/>
          <w:szCs w:val="18"/>
          <w:lang w:val="en-IE"/>
        </w:rPr>
        <w:t>Section 9 of the Education Act (1998) requires a school to “use its available resources” to identify and provide for the educational needs of those “with a disability or other special educational needs.”</w:t>
      </w:r>
    </w:p>
    <w:p w:rsidR="00E9320A" w:rsidRPr="00B0277E" w:rsidRDefault="00E9320A" w:rsidP="0000522B">
      <w:pPr>
        <w:pStyle w:val="FootnoteText"/>
        <w:rPr>
          <w:sz w:val="18"/>
          <w:szCs w:val="18"/>
          <w:lang w:val="en-IE"/>
        </w:rPr>
      </w:pPr>
      <w:r w:rsidRPr="00B0277E">
        <w:rPr>
          <w:rStyle w:val="FootnoteReference"/>
          <w:sz w:val="18"/>
          <w:szCs w:val="18"/>
        </w:rPr>
        <w:footnoteRef/>
      </w:r>
      <w:r w:rsidRPr="00B0277E">
        <w:rPr>
          <w:sz w:val="18"/>
          <w:szCs w:val="18"/>
        </w:rPr>
        <w:t xml:space="preserve"> The EPSEN Act requires that schools be inclusive of and provide an appropriate education for students with special educational needs.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46F"/>
    <w:multiLevelType w:val="hybridMultilevel"/>
    <w:tmpl w:val="A81CE86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503"/>
    <w:multiLevelType w:val="hybridMultilevel"/>
    <w:tmpl w:val="C87A8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F83"/>
    <w:multiLevelType w:val="hybridMultilevel"/>
    <w:tmpl w:val="BF9AE9D6"/>
    <w:lvl w:ilvl="0" w:tplc="1204A59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660F4"/>
    <w:multiLevelType w:val="hybridMultilevel"/>
    <w:tmpl w:val="9AC87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72FB"/>
    <w:multiLevelType w:val="hybridMultilevel"/>
    <w:tmpl w:val="CD6AD390"/>
    <w:lvl w:ilvl="0" w:tplc="B7085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4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AE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4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0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5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AE711B"/>
    <w:multiLevelType w:val="hybridMultilevel"/>
    <w:tmpl w:val="E862B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BD21D4"/>
    <w:multiLevelType w:val="hybridMultilevel"/>
    <w:tmpl w:val="C6A082A0"/>
    <w:lvl w:ilvl="0" w:tplc="3918D57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398"/>
    <w:multiLevelType w:val="hybridMultilevel"/>
    <w:tmpl w:val="7B086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1E05"/>
    <w:multiLevelType w:val="multilevel"/>
    <w:tmpl w:val="9D5EC986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 w15:restartNumberingAfterBreak="0">
    <w:nsid w:val="38C6384E"/>
    <w:multiLevelType w:val="multilevel"/>
    <w:tmpl w:val="776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B6BA0"/>
    <w:multiLevelType w:val="hybridMultilevel"/>
    <w:tmpl w:val="B55C40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12811"/>
    <w:multiLevelType w:val="hybridMultilevel"/>
    <w:tmpl w:val="85523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99C"/>
    <w:multiLevelType w:val="hybridMultilevel"/>
    <w:tmpl w:val="3E0820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54778"/>
    <w:multiLevelType w:val="multilevel"/>
    <w:tmpl w:val="E0A00A1C"/>
    <w:styleLink w:val="Dash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5B07684C"/>
    <w:multiLevelType w:val="hybridMultilevel"/>
    <w:tmpl w:val="00286B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4475"/>
    <w:multiLevelType w:val="hybridMultilevel"/>
    <w:tmpl w:val="0254A0B2"/>
    <w:lvl w:ilvl="0" w:tplc="73D8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E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4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E7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502A57"/>
    <w:multiLevelType w:val="hybridMultilevel"/>
    <w:tmpl w:val="FC503992"/>
    <w:lvl w:ilvl="0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420A81"/>
    <w:multiLevelType w:val="hybridMultilevel"/>
    <w:tmpl w:val="62AE3B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5"/>
  </w:num>
  <w:num w:numId="5">
    <w:abstractNumId w:val="18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5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0"/>
  </w:num>
  <w:num w:numId="16">
    <w:abstractNumId w:val="6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45"/>
    <w:rsid w:val="0000522B"/>
    <w:rsid w:val="0006457D"/>
    <w:rsid w:val="000C5D6D"/>
    <w:rsid w:val="000D3DB7"/>
    <w:rsid w:val="00112D36"/>
    <w:rsid w:val="00121FF0"/>
    <w:rsid w:val="00342D77"/>
    <w:rsid w:val="004C216B"/>
    <w:rsid w:val="004E4567"/>
    <w:rsid w:val="004E55BC"/>
    <w:rsid w:val="005E4932"/>
    <w:rsid w:val="006C636E"/>
    <w:rsid w:val="007148B6"/>
    <w:rsid w:val="007549F5"/>
    <w:rsid w:val="0078742A"/>
    <w:rsid w:val="007D3C3F"/>
    <w:rsid w:val="009757F5"/>
    <w:rsid w:val="009A1D17"/>
    <w:rsid w:val="009C3267"/>
    <w:rsid w:val="00A11577"/>
    <w:rsid w:val="00A22E87"/>
    <w:rsid w:val="00A72712"/>
    <w:rsid w:val="00A74F2F"/>
    <w:rsid w:val="00A84BBA"/>
    <w:rsid w:val="00B25545"/>
    <w:rsid w:val="00B80716"/>
    <w:rsid w:val="00B85453"/>
    <w:rsid w:val="00B924E7"/>
    <w:rsid w:val="00B95D7C"/>
    <w:rsid w:val="00C15704"/>
    <w:rsid w:val="00C530A6"/>
    <w:rsid w:val="00C57560"/>
    <w:rsid w:val="00D6713E"/>
    <w:rsid w:val="00E534C7"/>
    <w:rsid w:val="00E9320A"/>
    <w:rsid w:val="00EA4DDE"/>
    <w:rsid w:val="00F16DE3"/>
    <w:rsid w:val="00F26327"/>
    <w:rsid w:val="00F37C32"/>
    <w:rsid w:val="00F75122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798B92-F837-47C2-AC0E-1EF43EA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4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 w:eastAsia="en-IE"/>
    </w:rPr>
  </w:style>
  <w:style w:type="numbering" w:customStyle="1" w:styleId="Dash">
    <w:name w:val="Dash"/>
    <w:rsid w:val="007549F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549F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457D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7F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teTaking">
    <w:name w:val="Note Taking"/>
    <w:rsid w:val="009757F5"/>
    <w:pPr>
      <w:numPr>
        <w:numId w:val="6"/>
      </w:numPr>
    </w:pPr>
  </w:style>
  <w:style w:type="paragraph" w:styleId="NoSpacing">
    <w:name w:val="No Spacing"/>
    <w:uiPriority w:val="1"/>
    <w:qFormat/>
    <w:rsid w:val="009757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17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9A1D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0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052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005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636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009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16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270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7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5719-05B8-41A3-9774-807DB31A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ailishharkin</dc:creator>
  <cp:keywords/>
  <dc:description/>
  <cp:lastModifiedBy>A Harkin</cp:lastModifiedBy>
  <cp:revision>23</cp:revision>
  <dcterms:created xsi:type="dcterms:W3CDTF">2014-04-02T11:32:00Z</dcterms:created>
  <dcterms:modified xsi:type="dcterms:W3CDTF">2016-04-27T17:44:00Z</dcterms:modified>
</cp:coreProperties>
</file>